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1342C">
      <w:pPr>
        <w:overflowPunct w:val="0"/>
        <w:spacing w:line="579" w:lineRule="exact"/>
        <w:jc w:val="center"/>
        <w:rPr>
          <w:rFonts w:hint="eastAsia" w:eastAsia="仿宋_GB2312" w:cs="Times New Roman"/>
          <w:sz w:val="32"/>
          <w:szCs w:val="32"/>
        </w:rPr>
      </w:pPr>
    </w:p>
    <w:p w14:paraId="4B0AC1A6">
      <w:pPr>
        <w:overflowPunct w:val="0"/>
        <w:spacing w:line="579" w:lineRule="exact"/>
        <w:jc w:val="center"/>
        <w:rPr>
          <w:rFonts w:hint="eastAsia" w:eastAsia="仿宋_GB2312" w:cs="Times New Roman"/>
          <w:sz w:val="32"/>
          <w:szCs w:val="32"/>
        </w:rPr>
      </w:pPr>
    </w:p>
    <w:p w14:paraId="579C87E0">
      <w:pPr>
        <w:overflowPunct w:val="0"/>
        <w:spacing w:line="579" w:lineRule="exact"/>
        <w:jc w:val="center"/>
        <w:rPr>
          <w:rFonts w:hint="eastAsia" w:eastAsia="仿宋_GB2312" w:cs="Times New Roman"/>
          <w:sz w:val="32"/>
          <w:szCs w:val="32"/>
        </w:rPr>
      </w:pPr>
    </w:p>
    <w:p w14:paraId="68130302">
      <w:pPr>
        <w:overflowPunct w:val="0"/>
        <w:spacing w:line="579" w:lineRule="exact"/>
        <w:jc w:val="center"/>
        <w:rPr>
          <w:rFonts w:hint="eastAsia" w:eastAsia="仿宋_GB2312" w:cs="Times New Roman"/>
          <w:sz w:val="32"/>
          <w:szCs w:val="32"/>
        </w:rPr>
      </w:pPr>
    </w:p>
    <w:p w14:paraId="52BFD1EE">
      <w:pPr>
        <w:overflowPunct w:val="0"/>
        <w:spacing w:line="579" w:lineRule="exact"/>
        <w:jc w:val="center"/>
        <w:rPr>
          <w:rFonts w:hint="eastAsia" w:eastAsia="仿宋_GB2312" w:cs="Times New Roman"/>
          <w:sz w:val="32"/>
          <w:szCs w:val="32"/>
        </w:rPr>
      </w:pPr>
    </w:p>
    <w:p w14:paraId="3A0E9B97">
      <w:pPr>
        <w:overflowPunct w:val="0"/>
        <w:spacing w:line="579" w:lineRule="exact"/>
        <w:jc w:val="center"/>
        <w:rPr>
          <w:rFonts w:hint="eastAsia" w:eastAsia="仿宋_GB2312" w:cs="Times New Roman"/>
          <w:sz w:val="32"/>
          <w:szCs w:val="32"/>
        </w:rPr>
      </w:pPr>
    </w:p>
    <w:p w14:paraId="0E989A78">
      <w:pPr>
        <w:overflowPunct w:val="0"/>
        <w:spacing w:line="579" w:lineRule="exact"/>
        <w:jc w:val="center"/>
        <w:rPr>
          <w:rFonts w:hint="eastAsia" w:eastAsia="仿宋_GB2312" w:cs="Times New Roman"/>
          <w:sz w:val="32"/>
          <w:szCs w:val="32"/>
        </w:rPr>
      </w:pPr>
    </w:p>
    <w:p w14:paraId="6FB852A2">
      <w:pPr>
        <w:overflowPunct w:val="0"/>
        <w:spacing w:line="579" w:lineRule="exact"/>
        <w:jc w:val="center"/>
        <w:rPr>
          <w:rFonts w:eastAsia="仿宋_GB2312" w:cs="Times New Roman"/>
          <w:sz w:val="32"/>
          <w:szCs w:val="32"/>
        </w:rPr>
      </w:pPr>
      <w:r>
        <w:rPr>
          <w:rFonts w:hint="eastAsia" w:eastAsia="仿宋_GB2312" w:cs="Times New Roman"/>
          <w:sz w:val="32"/>
          <w:szCs w:val="32"/>
        </w:rPr>
        <w:t>泉丰政综</w:t>
      </w:r>
      <w:r>
        <w:rPr>
          <w:rFonts w:hint="eastAsia" w:eastAsia="仿宋_GB2312" w:cs="Times New Roman"/>
          <w:kern w:val="0"/>
          <w:sz w:val="32"/>
          <w:szCs w:val="32"/>
        </w:rPr>
        <w:t>〔</w:t>
      </w:r>
      <w:r>
        <w:rPr>
          <w:rFonts w:eastAsia="仿宋_GB2312" w:cs="Times New Roman"/>
          <w:kern w:val="0"/>
          <w:sz w:val="32"/>
          <w:szCs w:val="32"/>
        </w:rPr>
        <w:t>2026</w:t>
      </w:r>
      <w:r>
        <w:rPr>
          <w:rFonts w:hint="eastAsia" w:eastAsia="仿宋_GB2312" w:cs="Times New Roman"/>
          <w:kern w:val="0"/>
          <w:sz w:val="32"/>
          <w:szCs w:val="32"/>
        </w:rPr>
        <w:t>〕</w:t>
      </w:r>
      <w:r>
        <w:rPr>
          <w:rFonts w:hint="eastAsia" w:eastAsia="仿宋_GB2312" w:cs="Times New Roman"/>
          <w:kern w:val="0"/>
          <w:sz w:val="32"/>
          <w:szCs w:val="32"/>
          <w:lang w:val="en-US" w:eastAsia="zh-CN"/>
        </w:rPr>
        <w:t>78</w:t>
      </w:r>
      <w:r>
        <w:rPr>
          <w:rFonts w:hint="eastAsia" w:eastAsia="仿宋_GB2312" w:cs="Times New Roman"/>
          <w:sz w:val="32"/>
          <w:szCs w:val="32"/>
        </w:rPr>
        <w:t>号</w:t>
      </w:r>
    </w:p>
    <w:p w14:paraId="21590F53">
      <w:pPr>
        <w:overflowPunct w:val="0"/>
        <w:spacing w:line="460" w:lineRule="exact"/>
        <w:jc w:val="center"/>
        <w:rPr>
          <w:rFonts w:cs="Times New Roman"/>
          <w:b/>
          <w:bCs/>
          <w:sz w:val="36"/>
          <w:szCs w:val="36"/>
        </w:rPr>
      </w:pPr>
    </w:p>
    <w:p w14:paraId="69CB4ECD">
      <w:pPr>
        <w:overflowPunct w:val="0"/>
        <w:spacing w:line="460" w:lineRule="exact"/>
        <w:jc w:val="center"/>
        <w:rPr>
          <w:rFonts w:cs="Times New Roman"/>
          <w:b/>
          <w:bCs/>
          <w:sz w:val="36"/>
          <w:szCs w:val="36"/>
        </w:rPr>
      </w:pPr>
    </w:p>
    <w:p w14:paraId="0517F6B7">
      <w:pPr>
        <w:overflowPunct w:val="0"/>
        <w:spacing w:line="520" w:lineRule="exact"/>
        <w:jc w:val="center"/>
        <w:rPr>
          <w:rFonts w:eastAsia="方正小标宋简体" w:cs="Times New Roman"/>
          <w:sz w:val="44"/>
          <w:szCs w:val="44"/>
        </w:rPr>
      </w:pPr>
      <w:r>
        <w:rPr>
          <w:rFonts w:hint="eastAsia" w:eastAsia="方正小标宋简体" w:cs="Times New Roman"/>
          <w:sz w:val="44"/>
          <w:szCs w:val="44"/>
        </w:rPr>
        <w:t>泉州市丰泽区人民政府关于提请审议</w:t>
      </w:r>
    </w:p>
    <w:p w14:paraId="42BB8869">
      <w:pPr>
        <w:overflowPunct w:val="0"/>
        <w:spacing w:line="520" w:lineRule="exact"/>
        <w:jc w:val="center"/>
        <w:rPr>
          <w:rFonts w:eastAsia="方正小标宋简体" w:cs="Times New Roman"/>
          <w:sz w:val="44"/>
          <w:szCs w:val="44"/>
        </w:rPr>
      </w:pPr>
      <w:r>
        <w:rPr>
          <w:rFonts w:eastAsia="方正小标宋简体" w:cs="Times New Roman"/>
          <w:sz w:val="44"/>
          <w:szCs w:val="44"/>
        </w:rPr>
        <w:t>2025</w:t>
      </w:r>
      <w:r>
        <w:rPr>
          <w:rFonts w:hint="eastAsia" w:eastAsia="方正小标宋简体" w:cs="Times New Roman"/>
          <w:sz w:val="44"/>
          <w:szCs w:val="44"/>
        </w:rPr>
        <w:t>年丰泽区财政收支决算草案的议案</w:t>
      </w:r>
    </w:p>
    <w:p w14:paraId="71044803">
      <w:pPr>
        <w:overflowPunct w:val="0"/>
        <w:spacing w:line="520" w:lineRule="exact"/>
        <w:rPr>
          <w:rFonts w:cs="Times New Roman"/>
          <w:b/>
          <w:bCs/>
          <w:sz w:val="36"/>
          <w:szCs w:val="36"/>
        </w:rPr>
      </w:pPr>
    </w:p>
    <w:p w14:paraId="4BBE4C61">
      <w:pPr>
        <w:overflowPunct w:val="0"/>
        <w:spacing w:line="520" w:lineRule="exact"/>
        <w:rPr>
          <w:rFonts w:eastAsia="仿宋_GB2312" w:cs="Times New Roman"/>
          <w:sz w:val="32"/>
          <w:szCs w:val="32"/>
        </w:rPr>
      </w:pPr>
      <w:r>
        <w:rPr>
          <w:rFonts w:hint="eastAsia" w:eastAsia="仿宋_GB2312" w:cs="Times New Roman"/>
          <w:sz w:val="32"/>
          <w:szCs w:val="32"/>
        </w:rPr>
        <w:t>泉州市丰泽区人大常委会：</w:t>
      </w:r>
    </w:p>
    <w:p w14:paraId="67CF158F">
      <w:pPr>
        <w:overflowPunct w:val="0"/>
        <w:spacing w:line="520" w:lineRule="exact"/>
        <w:ind w:firstLine="640" w:firstLineChars="200"/>
        <w:rPr>
          <w:rFonts w:eastAsia="仿宋_GB2312" w:cs="Times New Roman"/>
          <w:sz w:val="32"/>
          <w:szCs w:val="32"/>
        </w:rPr>
      </w:pPr>
      <w:r>
        <w:rPr>
          <w:rFonts w:eastAsia="仿宋_GB2312" w:cs="Times New Roman"/>
          <w:sz w:val="32"/>
          <w:szCs w:val="32"/>
        </w:rPr>
        <w:t>2025</w:t>
      </w:r>
      <w:r>
        <w:rPr>
          <w:rFonts w:hint="eastAsia" w:eastAsia="仿宋_GB2312" w:cs="Times New Roman"/>
          <w:sz w:val="32"/>
          <w:szCs w:val="32"/>
        </w:rPr>
        <w:t>年丰泽区财政收支决算</w:t>
      </w:r>
      <w:r>
        <w:rPr>
          <w:rFonts w:hint="eastAsia" w:eastAsia="仿宋_GB2312" w:cs="Times New Roman"/>
          <w:kern w:val="13"/>
          <w:sz w:val="32"/>
          <w:szCs w:val="32"/>
        </w:rPr>
        <w:t>草案</w:t>
      </w:r>
      <w:r>
        <w:rPr>
          <w:rFonts w:hint="eastAsia" w:eastAsia="仿宋_GB2312" w:cs="Times New Roman"/>
          <w:sz w:val="32"/>
          <w:szCs w:val="32"/>
        </w:rPr>
        <w:t>已经编制完成，根据《中华人民共和国预算法》规定，现委托区财政局向区人大常委会报告，请予以审议。</w:t>
      </w:r>
    </w:p>
    <w:p w14:paraId="7F635F4D">
      <w:pPr>
        <w:overflowPunct w:val="0"/>
        <w:spacing w:line="440" w:lineRule="exact"/>
        <w:ind w:firstLine="4320" w:firstLineChars="1350"/>
        <w:rPr>
          <w:rFonts w:eastAsia="仿宋_GB2312" w:cs="Times New Roman"/>
          <w:sz w:val="32"/>
          <w:szCs w:val="32"/>
        </w:rPr>
      </w:pPr>
    </w:p>
    <w:p w14:paraId="20A7A65E">
      <w:pPr>
        <w:overflowPunct w:val="0"/>
        <w:spacing w:line="440" w:lineRule="exact"/>
        <w:ind w:firstLine="4320" w:firstLineChars="1350"/>
        <w:rPr>
          <w:rFonts w:hint="eastAsia" w:eastAsia="仿宋_GB2312" w:cs="Times New Roman"/>
          <w:sz w:val="32"/>
          <w:szCs w:val="32"/>
        </w:rPr>
      </w:pPr>
    </w:p>
    <w:p w14:paraId="6AF48B1A">
      <w:pPr>
        <w:overflowPunct w:val="0"/>
        <w:spacing w:line="440" w:lineRule="exact"/>
        <w:ind w:firstLine="4320" w:firstLineChars="1350"/>
        <w:rPr>
          <w:rFonts w:eastAsia="仿宋_GB2312" w:cs="Times New Roman"/>
          <w:sz w:val="32"/>
          <w:szCs w:val="32"/>
        </w:rPr>
      </w:pPr>
    </w:p>
    <w:p w14:paraId="3061CBF6">
      <w:pPr>
        <w:tabs>
          <w:tab w:val="left" w:pos="4680"/>
          <w:tab w:val="left" w:pos="4860"/>
          <w:tab w:val="left" w:pos="5220"/>
          <w:tab w:val="left" w:pos="7740"/>
        </w:tabs>
        <w:overflowPunct w:val="0"/>
        <w:spacing w:line="520" w:lineRule="exact"/>
        <w:ind w:firstLine="4800" w:firstLineChars="1500"/>
        <w:rPr>
          <w:rFonts w:eastAsia="仿宋_GB2312" w:cs="Times New Roman"/>
          <w:sz w:val="32"/>
          <w:szCs w:val="32"/>
        </w:rPr>
      </w:pPr>
      <w:r>
        <w:rPr>
          <w:rFonts w:hint="eastAsia" w:eastAsia="仿宋_GB2312" w:cs="Times New Roman"/>
          <w:sz w:val="32"/>
          <w:szCs w:val="32"/>
        </w:rPr>
        <w:t>泉州市丰泽区人民政府</w:t>
      </w:r>
    </w:p>
    <w:p w14:paraId="15FAB256">
      <w:pPr>
        <w:overflowPunct w:val="0"/>
        <w:spacing w:before="312" w:beforeLines="130" w:after="312" w:afterLines="130" w:line="520" w:lineRule="exact"/>
        <w:ind w:firstLine="960" w:firstLineChars="300"/>
        <w:rPr>
          <w:rFonts w:eastAsia="仿宋_GB2312" w:cs="Times New Roman"/>
          <w:sz w:val="32"/>
          <w:szCs w:val="32"/>
        </w:rPr>
      </w:pPr>
      <w:r>
        <w:rPr>
          <w:rFonts w:eastAsia="仿宋_GB2312" w:cs="Times New Roman"/>
          <w:sz w:val="32"/>
          <w:szCs w:val="32"/>
        </w:rPr>
        <w:t xml:space="preserve">                          </w:t>
      </w:r>
      <w:r>
        <w:rPr>
          <w:rFonts w:hint="eastAsia" w:eastAsia="仿宋_GB2312" w:cs="Times New Roman"/>
          <w:sz w:val="32"/>
          <w:szCs w:val="32"/>
          <w:lang w:eastAsia="zh-CN"/>
        </w:rPr>
        <w:t>代</w:t>
      </w:r>
      <w:r>
        <w:rPr>
          <w:rFonts w:hint="eastAsia" w:eastAsia="仿宋_GB2312" w:cs="Times New Roman"/>
          <w:sz w:val="32"/>
          <w:szCs w:val="32"/>
        </w:rPr>
        <w:t>区长：</w:t>
      </w:r>
    </w:p>
    <w:p w14:paraId="23FF9988">
      <w:pPr>
        <w:tabs>
          <w:tab w:val="left" w:pos="7560"/>
          <w:tab w:val="left" w:pos="7740"/>
          <w:tab w:val="left" w:pos="7920"/>
        </w:tabs>
        <w:overflowPunct w:val="0"/>
        <w:spacing w:line="520" w:lineRule="exact"/>
        <w:rPr>
          <w:rFonts w:eastAsia="仿宋_GB2312" w:cs="Times New Roman"/>
          <w:sz w:val="32"/>
          <w:szCs w:val="32"/>
        </w:rPr>
      </w:pPr>
      <w:r>
        <w:rPr>
          <w:rFonts w:eastAsia="仿宋_GB2312" w:cs="Times New Roman"/>
          <w:sz w:val="32"/>
          <w:szCs w:val="32"/>
        </w:rPr>
        <w:t xml:space="preserve">                                2026</w:t>
      </w:r>
      <w:r>
        <w:rPr>
          <w:rFonts w:hint="eastAsia" w:eastAsia="仿宋_GB2312" w:cs="Times New Roman"/>
          <w:sz w:val="32"/>
          <w:szCs w:val="32"/>
        </w:rPr>
        <w:t>年</w:t>
      </w:r>
      <w:r>
        <w:rPr>
          <w:rFonts w:eastAsia="仿宋_GB2312" w:cs="Times New Roman"/>
          <w:sz w:val="32"/>
          <w:szCs w:val="32"/>
        </w:rPr>
        <w:t>8</w:t>
      </w:r>
      <w:r>
        <w:rPr>
          <w:rFonts w:hint="eastAsia" w:eastAsia="仿宋_GB2312" w:cs="Times New Roman"/>
          <w:sz w:val="32"/>
          <w:szCs w:val="32"/>
        </w:rPr>
        <w:t>月</w:t>
      </w:r>
      <w:r>
        <w:rPr>
          <w:rFonts w:eastAsia="仿宋_GB2312" w:cs="Times New Roman"/>
          <w:sz w:val="32"/>
          <w:szCs w:val="32"/>
        </w:rPr>
        <w:t xml:space="preserve">  </w:t>
      </w:r>
      <w:r>
        <w:rPr>
          <w:rFonts w:hint="eastAsia" w:eastAsia="仿宋_GB2312" w:cs="Times New Roman"/>
          <w:sz w:val="32"/>
          <w:szCs w:val="32"/>
        </w:rPr>
        <w:t>日</w:t>
      </w:r>
    </w:p>
    <w:p w14:paraId="5DBB1D87">
      <w:pPr>
        <w:tabs>
          <w:tab w:val="left" w:pos="7560"/>
          <w:tab w:val="left" w:pos="7740"/>
          <w:tab w:val="left" w:pos="7920"/>
        </w:tabs>
        <w:overflowPunct w:val="0"/>
        <w:spacing w:line="554" w:lineRule="exact"/>
        <w:jc w:val="center"/>
        <w:rPr>
          <w:rFonts w:eastAsia="方正小标宋简体" w:cs="Times New Roman"/>
          <w:sz w:val="44"/>
          <w:szCs w:val="44"/>
        </w:rPr>
      </w:pPr>
      <w:r>
        <w:rPr>
          <w:rFonts w:eastAsia="方正小标宋简体" w:cs="Times New Roman"/>
          <w:sz w:val="44"/>
          <w:szCs w:val="44"/>
        </w:rPr>
        <w:t>202</w:t>
      </w:r>
      <w:r>
        <w:rPr>
          <w:rFonts w:hint="eastAsia" w:eastAsia="方正小标宋简体" w:cs="Times New Roman"/>
          <w:sz w:val="44"/>
          <w:szCs w:val="44"/>
        </w:rPr>
        <w:t>5</w:t>
      </w:r>
      <w:r>
        <w:rPr>
          <w:rFonts w:eastAsia="方正小标宋简体" w:cs="Times New Roman"/>
          <w:sz w:val="44"/>
          <w:szCs w:val="44"/>
        </w:rPr>
        <w:t>年丰泽区财政收支决算草案</w:t>
      </w:r>
    </w:p>
    <w:p w14:paraId="6965D41A">
      <w:pPr>
        <w:tabs>
          <w:tab w:val="left" w:pos="7560"/>
          <w:tab w:val="left" w:pos="7740"/>
          <w:tab w:val="left" w:pos="7920"/>
        </w:tabs>
        <w:overflowPunct w:val="0"/>
        <w:spacing w:line="554" w:lineRule="exact"/>
        <w:jc w:val="center"/>
        <w:rPr>
          <w:rFonts w:eastAsia="楷体_GB2312" w:cs="Times New Roman"/>
          <w:sz w:val="32"/>
          <w:szCs w:val="32"/>
        </w:rPr>
      </w:pPr>
      <w:r>
        <w:rPr>
          <w:rFonts w:eastAsia="楷体_GB2312" w:cs="Times New Roman"/>
          <w:sz w:val="32"/>
          <w:szCs w:val="32"/>
        </w:rPr>
        <w:t>泉州市丰泽区财政局</w:t>
      </w:r>
    </w:p>
    <w:p w14:paraId="2C332359">
      <w:pPr>
        <w:overflowPunct w:val="0"/>
        <w:spacing w:line="554" w:lineRule="exact"/>
        <w:jc w:val="center"/>
        <w:rPr>
          <w:rFonts w:eastAsia="仿宋_GB2312" w:cs="Times New Roman"/>
          <w:sz w:val="32"/>
          <w:szCs w:val="32"/>
        </w:rPr>
      </w:pPr>
    </w:p>
    <w:p w14:paraId="72C80C34">
      <w:pPr>
        <w:overflowPunct w:val="0"/>
        <w:spacing w:line="554" w:lineRule="exact"/>
        <w:ind w:firstLine="640" w:firstLineChars="200"/>
        <w:rPr>
          <w:rFonts w:eastAsia="仿宋_GB2312" w:cs="Times New Roman"/>
          <w:sz w:val="32"/>
          <w:szCs w:val="32"/>
        </w:rPr>
      </w:pPr>
      <w:r>
        <w:rPr>
          <w:rFonts w:eastAsia="仿宋_GB2312" w:cs="Times New Roman"/>
          <w:sz w:val="32"/>
          <w:szCs w:val="32"/>
        </w:rPr>
        <w:t>202</w:t>
      </w:r>
      <w:r>
        <w:rPr>
          <w:rFonts w:hint="eastAsia" w:eastAsia="仿宋_GB2312" w:cs="Times New Roman"/>
          <w:sz w:val="32"/>
          <w:szCs w:val="32"/>
        </w:rPr>
        <w:t>5</w:t>
      </w:r>
      <w:r>
        <w:rPr>
          <w:rFonts w:eastAsia="仿宋_GB2312" w:cs="Times New Roman"/>
          <w:sz w:val="32"/>
          <w:szCs w:val="32"/>
        </w:rPr>
        <w:t>年，</w:t>
      </w:r>
      <w:r>
        <w:rPr>
          <w:rFonts w:hint="eastAsia" w:eastAsia="仿宋_GB2312" w:cs="Times New Roman"/>
          <w:sz w:val="32"/>
          <w:szCs w:val="32"/>
        </w:rPr>
        <w:t>在区委、区政府坚强领导下，在区人大、区政协监督支持下，区财政部门以习近平新时代中国特色社会主义思想为指引，深入落实党的二十大及二十届历次全会精神，坚持稳中求进、以进促稳总基调，深化拓展“三争”行动，扎实推进“1+3”专项、“抓项目、促发展”和“5610”专项行动。锚定21世纪海丝名城核心区建设目标，聚力产业升级、风险防控，优化支出结构，强化预算管理，全力保障重大战略、重点项目与民生兜底需求，全年财政运行平稳高效、安全有序。</w:t>
      </w:r>
    </w:p>
    <w:p w14:paraId="0E9AD8FD">
      <w:pPr>
        <w:overflowPunct w:val="0"/>
        <w:spacing w:line="554" w:lineRule="exact"/>
        <w:ind w:firstLine="640" w:firstLineChars="200"/>
        <w:rPr>
          <w:rFonts w:eastAsia="黑体" w:cs="Times New Roman"/>
          <w:sz w:val="32"/>
          <w:szCs w:val="32"/>
        </w:rPr>
      </w:pPr>
      <w:r>
        <w:rPr>
          <w:rFonts w:eastAsia="黑体" w:cs="Times New Roman"/>
          <w:sz w:val="32"/>
          <w:szCs w:val="32"/>
        </w:rPr>
        <w:t>一、财政收支决算情况</w:t>
      </w:r>
    </w:p>
    <w:p w14:paraId="27D69F45">
      <w:pPr>
        <w:overflowPunct w:val="0"/>
        <w:spacing w:line="554" w:lineRule="exact"/>
        <w:ind w:firstLine="643" w:firstLineChars="200"/>
        <w:rPr>
          <w:rFonts w:eastAsia="楷体_GB2312" w:cs="Times New Roman"/>
          <w:b/>
          <w:sz w:val="32"/>
          <w:szCs w:val="32"/>
        </w:rPr>
      </w:pPr>
      <w:r>
        <w:rPr>
          <w:rFonts w:eastAsia="楷体_GB2312" w:cs="Times New Roman"/>
          <w:b/>
          <w:sz w:val="32"/>
          <w:szCs w:val="32"/>
        </w:rPr>
        <w:t>（一）一般公共预算收支及平衡情况</w:t>
      </w:r>
    </w:p>
    <w:p w14:paraId="48BE321A">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1.收入情况</w:t>
      </w:r>
    </w:p>
    <w:p w14:paraId="2DF7BF40">
      <w:pPr>
        <w:overflowPunct w:val="0"/>
        <w:spacing w:line="554" w:lineRule="exact"/>
        <w:ind w:firstLine="640" w:firstLineChars="200"/>
        <w:rPr>
          <w:rFonts w:eastAsia="仿宋_GB2312" w:cs="Times New Roman"/>
          <w:sz w:val="32"/>
          <w:szCs w:val="32"/>
        </w:rPr>
      </w:pPr>
      <w:r>
        <w:rPr>
          <w:rFonts w:eastAsia="仿宋_GB2312" w:cs="Times New Roman"/>
          <w:sz w:val="32"/>
          <w:szCs w:val="32"/>
        </w:rPr>
        <w:t>一般公共预算收入</w:t>
      </w:r>
      <w:r>
        <w:rPr>
          <w:rFonts w:hint="eastAsia" w:eastAsia="仿宋_GB2312" w:cs="Times New Roman"/>
          <w:sz w:val="32"/>
          <w:szCs w:val="32"/>
        </w:rPr>
        <w:t>197677</w:t>
      </w:r>
      <w:r>
        <w:rPr>
          <w:rFonts w:eastAsia="仿宋_GB2312" w:cs="Times New Roman"/>
          <w:sz w:val="32"/>
          <w:szCs w:val="32"/>
        </w:rPr>
        <w:t>万元，完成调整预算</w:t>
      </w:r>
      <w:r>
        <w:rPr>
          <w:rFonts w:hint="eastAsia" w:eastAsia="仿宋_GB2312" w:cs="Times New Roman"/>
          <w:sz w:val="32"/>
          <w:szCs w:val="32"/>
        </w:rPr>
        <w:t>191500</w:t>
      </w:r>
      <w:r>
        <w:rPr>
          <w:rFonts w:eastAsia="仿宋_GB2312" w:cs="Times New Roman"/>
          <w:sz w:val="32"/>
          <w:szCs w:val="32"/>
        </w:rPr>
        <w:t>万元的10</w:t>
      </w:r>
      <w:r>
        <w:rPr>
          <w:rFonts w:hint="eastAsia" w:eastAsia="仿宋_GB2312" w:cs="Times New Roman"/>
          <w:sz w:val="32"/>
          <w:szCs w:val="32"/>
        </w:rPr>
        <w:t>3.2</w:t>
      </w:r>
      <w:r>
        <w:rPr>
          <w:rFonts w:eastAsia="仿宋_GB2312" w:cs="Times New Roman"/>
          <w:sz w:val="32"/>
          <w:szCs w:val="32"/>
        </w:rPr>
        <w:t>%，比上年减少</w:t>
      </w:r>
      <w:r>
        <w:rPr>
          <w:rFonts w:hint="eastAsia" w:eastAsia="仿宋_GB2312" w:cs="Times New Roman"/>
          <w:sz w:val="32"/>
          <w:szCs w:val="32"/>
        </w:rPr>
        <w:t>4488</w:t>
      </w:r>
      <w:r>
        <w:rPr>
          <w:rFonts w:eastAsia="仿宋_GB2312" w:cs="Times New Roman"/>
          <w:sz w:val="32"/>
          <w:szCs w:val="32"/>
        </w:rPr>
        <w:t>万元，下降</w:t>
      </w:r>
      <w:r>
        <w:rPr>
          <w:rFonts w:hint="eastAsia" w:eastAsia="仿宋_GB2312" w:cs="Times New Roman"/>
          <w:sz w:val="32"/>
          <w:szCs w:val="32"/>
        </w:rPr>
        <w:t>2.2</w:t>
      </w:r>
      <w:r>
        <w:rPr>
          <w:rFonts w:eastAsia="仿宋_GB2312" w:cs="Times New Roman"/>
          <w:sz w:val="32"/>
          <w:szCs w:val="32"/>
        </w:rPr>
        <w:t>%；上级补助收入</w:t>
      </w:r>
      <w:r>
        <w:rPr>
          <w:rFonts w:hint="eastAsia" w:eastAsia="仿宋_GB2312" w:cs="Times New Roman"/>
          <w:sz w:val="32"/>
          <w:szCs w:val="32"/>
        </w:rPr>
        <w:t>116339</w:t>
      </w:r>
      <w:r>
        <w:rPr>
          <w:rFonts w:eastAsia="仿宋_GB2312" w:cs="Times New Roman"/>
          <w:sz w:val="32"/>
          <w:szCs w:val="32"/>
        </w:rPr>
        <w:t>万元，其中：返还性收入36384万元、一般性转移支付收入</w:t>
      </w:r>
      <w:r>
        <w:rPr>
          <w:rFonts w:hint="eastAsia" w:eastAsia="仿宋_GB2312" w:cs="Times New Roman"/>
          <w:sz w:val="32"/>
          <w:szCs w:val="32"/>
        </w:rPr>
        <w:t>62969</w:t>
      </w:r>
      <w:r>
        <w:rPr>
          <w:rFonts w:eastAsia="仿宋_GB2312" w:cs="Times New Roman"/>
          <w:sz w:val="32"/>
          <w:szCs w:val="32"/>
        </w:rPr>
        <w:t>万元、专项转移支付收入</w:t>
      </w:r>
      <w:r>
        <w:rPr>
          <w:rFonts w:hint="eastAsia" w:eastAsia="仿宋_GB2312" w:cs="Times New Roman"/>
          <w:sz w:val="32"/>
          <w:szCs w:val="32"/>
        </w:rPr>
        <w:t>16986</w:t>
      </w:r>
      <w:r>
        <w:rPr>
          <w:rFonts w:eastAsia="仿宋_GB2312" w:cs="Times New Roman"/>
          <w:sz w:val="32"/>
          <w:szCs w:val="32"/>
        </w:rPr>
        <w:t>万元；上年结转结余</w:t>
      </w:r>
      <w:r>
        <w:rPr>
          <w:rFonts w:hint="eastAsia" w:eastAsia="仿宋_GB2312" w:cs="Times New Roman"/>
          <w:sz w:val="32"/>
          <w:szCs w:val="32"/>
        </w:rPr>
        <w:t>38503</w:t>
      </w:r>
      <w:r>
        <w:rPr>
          <w:rFonts w:eastAsia="仿宋_GB2312" w:cs="Times New Roman"/>
          <w:sz w:val="32"/>
          <w:szCs w:val="32"/>
        </w:rPr>
        <w:t>万元；调入资金</w:t>
      </w:r>
      <w:r>
        <w:rPr>
          <w:rFonts w:hint="eastAsia" w:eastAsia="仿宋_GB2312" w:cs="Times New Roman"/>
          <w:sz w:val="32"/>
          <w:szCs w:val="32"/>
        </w:rPr>
        <w:t>30402</w:t>
      </w:r>
      <w:r>
        <w:rPr>
          <w:rFonts w:eastAsia="仿宋_GB2312" w:cs="Times New Roman"/>
          <w:sz w:val="32"/>
          <w:szCs w:val="32"/>
        </w:rPr>
        <w:t>万元；债务转贷收入</w:t>
      </w:r>
      <w:r>
        <w:rPr>
          <w:rFonts w:hint="eastAsia" w:eastAsia="仿宋_GB2312" w:cs="Times New Roman"/>
          <w:sz w:val="32"/>
          <w:szCs w:val="32"/>
        </w:rPr>
        <w:t>33182</w:t>
      </w:r>
      <w:r>
        <w:rPr>
          <w:rFonts w:eastAsia="仿宋_GB2312" w:cs="Times New Roman"/>
          <w:sz w:val="32"/>
          <w:szCs w:val="32"/>
        </w:rPr>
        <w:t>万元；动用预算稳定调节基金</w:t>
      </w:r>
      <w:r>
        <w:rPr>
          <w:rFonts w:hint="eastAsia" w:eastAsia="仿宋_GB2312" w:cs="Times New Roman"/>
          <w:sz w:val="32"/>
          <w:szCs w:val="32"/>
        </w:rPr>
        <w:t>1665</w:t>
      </w:r>
      <w:r>
        <w:rPr>
          <w:rFonts w:eastAsia="仿宋_GB2312" w:cs="Times New Roman"/>
          <w:sz w:val="32"/>
          <w:szCs w:val="32"/>
        </w:rPr>
        <w:t>万元；收入合计</w:t>
      </w:r>
      <w:r>
        <w:rPr>
          <w:rFonts w:hint="eastAsia" w:eastAsia="仿宋_GB2312" w:cs="Times New Roman"/>
          <w:sz w:val="32"/>
          <w:szCs w:val="32"/>
        </w:rPr>
        <w:t>417768</w:t>
      </w:r>
      <w:r>
        <w:rPr>
          <w:rFonts w:eastAsia="仿宋_GB2312" w:cs="Times New Roman"/>
          <w:sz w:val="32"/>
          <w:szCs w:val="32"/>
        </w:rPr>
        <w:t>万元。</w:t>
      </w:r>
    </w:p>
    <w:p w14:paraId="23869E65">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2.支出情况</w:t>
      </w:r>
    </w:p>
    <w:p w14:paraId="31444E31">
      <w:pPr>
        <w:overflowPunct w:val="0"/>
        <w:spacing w:line="554" w:lineRule="exact"/>
        <w:ind w:firstLine="640" w:firstLineChars="200"/>
        <w:rPr>
          <w:rFonts w:eastAsia="仿宋_GB2312" w:cs="Times New Roman"/>
          <w:sz w:val="32"/>
          <w:szCs w:val="32"/>
        </w:rPr>
      </w:pPr>
      <w:r>
        <w:rPr>
          <w:rFonts w:eastAsia="仿宋_GB2312" w:cs="Times New Roman"/>
          <w:sz w:val="32"/>
          <w:szCs w:val="32"/>
        </w:rPr>
        <w:t>一般公共预算支出</w:t>
      </w:r>
      <w:r>
        <w:rPr>
          <w:rFonts w:hint="eastAsia" w:eastAsia="仿宋_GB2312" w:cs="Times New Roman"/>
          <w:sz w:val="32"/>
          <w:szCs w:val="32"/>
        </w:rPr>
        <w:t>279440</w:t>
      </w:r>
      <w:r>
        <w:rPr>
          <w:rFonts w:eastAsia="仿宋_GB2312" w:cs="Times New Roman"/>
          <w:sz w:val="32"/>
          <w:szCs w:val="32"/>
        </w:rPr>
        <w:t>万元，完成调整预算数的1</w:t>
      </w:r>
      <w:r>
        <w:rPr>
          <w:rFonts w:hint="eastAsia" w:eastAsia="仿宋_GB2312" w:cs="Times New Roman"/>
          <w:sz w:val="32"/>
          <w:szCs w:val="32"/>
        </w:rPr>
        <w:t>33.4</w:t>
      </w:r>
      <w:r>
        <w:rPr>
          <w:rFonts w:eastAsia="仿宋_GB2312" w:cs="Times New Roman"/>
          <w:sz w:val="32"/>
          <w:szCs w:val="32"/>
        </w:rPr>
        <w:t>%比上年</w:t>
      </w:r>
      <w:r>
        <w:rPr>
          <w:rFonts w:hint="eastAsia" w:eastAsia="仿宋_GB2312" w:cs="Times New Roman"/>
          <w:sz w:val="32"/>
          <w:szCs w:val="32"/>
        </w:rPr>
        <w:t>增加2757</w:t>
      </w:r>
      <w:r>
        <w:rPr>
          <w:rFonts w:eastAsia="仿宋_GB2312" w:cs="Times New Roman"/>
          <w:sz w:val="32"/>
          <w:szCs w:val="32"/>
        </w:rPr>
        <w:t>万元，</w:t>
      </w:r>
      <w:r>
        <w:rPr>
          <w:rFonts w:hint="eastAsia" w:eastAsia="仿宋_GB2312" w:cs="Times New Roman"/>
          <w:sz w:val="32"/>
          <w:szCs w:val="32"/>
        </w:rPr>
        <w:t>增长1.0</w:t>
      </w:r>
      <w:r>
        <w:rPr>
          <w:rFonts w:eastAsia="仿宋_GB2312" w:cs="Times New Roman"/>
          <w:sz w:val="32"/>
          <w:szCs w:val="32"/>
        </w:rPr>
        <w:t>%；上解上级支出</w:t>
      </w:r>
      <w:r>
        <w:rPr>
          <w:rFonts w:hint="eastAsia" w:eastAsia="仿宋_GB2312" w:cs="Times New Roman"/>
          <w:sz w:val="32"/>
          <w:szCs w:val="32"/>
        </w:rPr>
        <w:t>94601</w:t>
      </w:r>
      <w:r>
        <w:rPr>
          <w:rFonts w:eastAsia="仿宋_GB2312" w:cs="Times New Roman"/>
          <w:sz w:val="32"/>
          <w:szCs w:val="32"/>
        </w:rPr>
        <w:t>万元（其中：体制上解支出</w:t>
      </w:r>
      <w:r>
        <w:rPr>
          <w:rFonts w:hint="eastAsia" w:eastAsia="仿宋_GB2312" w:cs="Times New Roman"/>
          <w:sz w:val="32"/>
          <w:szCs w:val="32"/>
        </w:rPr>
        <w:t>63894</w:t>
      </w:r>
      <w:r>
        <w:rPr>
          <w:rFonts w:eastAsia="仿宋_GB2312" w:cs="Times New Roman"/>
          <w:sz w:val="32"/>
          <w:szCs w:val="32"/>
        </w:rPr>
        <w:t>万元、专项上解支出</w:t>
      </w:r>
      <w:r>
        <w:rPr>
          <w:rFonts w:hint="eastAsia" w:eastAsia="仿宋_GB2312" w:cs="Times New Roman"/>
          <w:sz w:val="32"/>
          <w:szCs w:val="32"/>
        </w:rPr>
        <w:t>30707</w:t>
      </w:r>
      <w:r>
        <w:rPr>
          <w:rFonts w:eastAsia="仿宋_GB2312" w:cs="Times New Roman"/>
          <w:sz w:val="32"/>
          <w:szCs w:val="32"/>
        </w:rPr>
        <w:t>万元）；调出资金</w:t>
      </w:r>
      <w:r>
        <w:rPr>
          <w:rFonts w:hint="eastAsia" w:eastAsia="仿宋_GB2312" w:cs="Times New Roman"/>
          <w:sz w:val="32"/>
          <w:szCs w:val="32"/>
        </w:rPr>
        <w:t>2018</w:t>
      </w:r>
      <w:r>
        <w:rPr>
          <w:rFonts w:eastAsia="仿宋_GB2312" w:cs="Times New Roman"/>
          <w:sz w:val="32"/>
          <w:szCs w:val="32"/>
        </w:rPr>
        <w:t>万元；地方政府一般债务还本支出</w:t>
      </w:r>
      <w:r>
        <w:rPr>
          <w:rFonts w:hint="eastAsia" w:eastAsia="仿宋_GB2312" w:cs="Times New Roman"/>
          <w:sz w:val="32"/>
          <w:szCs w:val="32"/>
        </w:rPr>
        <w:t>25571</w:t>
      </w:r>
      <w:r>
        <w:rPr>
          <w:rFonts w:eastAsia="仿宋_GB2312" w:cs="Times New Roman"/>
          <w:sz w:val="32"/>
          <w:szCs w:val="32"/>
        </w:rPr>
        <w:t>万元；</w:t>
      </w:r>
      <w:r>
        <w:rPr>
          <w:rFonts w:hint="eastAsia" w:eastAsia="仿宋_GB2312" w:cs="Times New Roman"/>
          <w:sz w:val="32"/>
          <w:szCs w:val="32"/>
        </w:rPr>
        <w:t>安排预算稳定调节基金3万元；</w:t>
      </w:r>
      <w:r>
        <w:rPr>
          <w:rFonts w:eastAsia="仿宋_GB2312" w:cs="Times New Roman"/>
          <w:sz w:val="32"/>
          <w:szCs w:val="32"/>
        </w:rPr>
        <w:t>援助其他地区支出</w:t>
      </w:r>
      <w:r>
        <w:rPr>
          <w:rFonts w:hint="eastAsia" w:eastAsia="仿宋_GB2312" w:cs="Times New Roman"/>
          <w:sz w:val="32"/>
          <w:szCs w:val="32"/>
        </w:rPr>
        <w:t>156</w:t>
      </w:r>
      <w:r>
        <w:rPr>
          <w:rFonts w:eastAsia="仿宋_GB2312" w:cs="Times New Roman"/>
          <w:sz w:val="32"/>
          <w:szCs w:val="32"/>
        </w:rPr>
        <w:t>万元；支出合计</w:t>
      </w:r>
      <w:r>
        <w:rPr>
          <w:rFonts w:hint="eastAsia" w:eastAsia="仿宋_GB2312" w:cs="Times New Roman"/>
          <w:sz w:val="32"/>
          <w:szCs w:val="32"/>
        </w:rPr>
        <w:t>401789</w:t>
      </w:r>
      <w:r>
        <w:rPr>
          <w:rFonts w:eastAsia="仿宋_GB2312" w:cs="Times New Roman"/>
          <w:sz w:val="32"/>
          <w:szCs w:val="32"/>
        </w:rPr>
        <w:t>万元。</w:t>
      </w:r>
    </w:p>
    <w:p w14:paraId="0C390E96">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3.平衡情况</w:t>
      </w:r>
    </w:p>
    <w:p w14:paraId="770992A5">
      <w:pPr>
        <w:overflowPunct w:val="0"/>
        <w:spacing w:line="554" w:lineRule="exact"/>
        <w:ind w:firstLine="640" w:firstLineChars="200"/>
        <w:rPr>
          <w:rFonts w:eastAsia="仿宋_GB2312" w:cs="Times New Roman"/>
          <w:sz w:val="32"/>
          <w:szCs w:val="32"/>
        </w:rPr>
      </w:pPr>
      <w:r>
        <w:rPr>
          <w:rFonts w:eastAsia="仿宋_GB2312" w:cs="Times New Roman"/>
          <w:sz w:val="32"/>
          <w:szCs w:val="32"/>
        </w:rPr>
        <w:t>收支相抵，一般公共预算年终结余</w:t>
      </w:r>
      <w:r>
        <w:rPr>
          <w:rFonts w:hint="eastAsia" w:eastAsia="仿宋_GB2312" w:cs="Times New Roman"/>
          <w:sz w:val="32"/>
          <w:szCs w:val="32"/>
        </w:rPr>
        <w:t>15979</w:t>
      </w:r>
      <w:r>
        <w:rPr>
          <w:rFonts w:eastAsia="仿宋_GB2312" w:cs="Times New Roman"/>
          <w:sz w:val="32"/>
          <w:szCs w:val="32"/>
        </w:rPr>
        <w:t>万元（</w:t>
      </w:r>
      <w:r>
        <w:rPr>
          <w:rFonts w:hint="eastAsia" w:eastAsia="仿宋_GB2312" w:cs="Times New Roman"/>
          <w:sz w:val="32"/>
          <w:szCs w:val="32"/>
        </w:rPr>
        <w:t>全部为</w:t>
      </w:r>
      <w:r>
        <w:rPr>
          <w:rFonts w:eastAsia="仿宋_GB2312" w:cs="Times New Roman"/>
          <w:sz w:val="32"/>
          <w:szCs w:val="32"/>
        </w:rPr>
        <w:t>省市专项结余），比上年</w:t>
      </w:r>
      <w:r>
        <w:rPr>
          <w:rFonts w:hint="eastAsia" w:eastAsia="仿宋_GB2312" w:cs="Times New Roman"/>
          <w:sz w:val="32"/>
          <w:szCs w:val="32"/>
        </w:rPr>
        <w:t>减少22524</w:t>
      </w:r>
      <w:r>
        <w:rPr>
          <w:rFonts w:eastAsia="仿宋_GB2312" w:cs="Times New Roman"/>
          <w:sz w:val="32"/>
          <w:szCs w:val="32"/>
        </w:rPr>
        <w:t>万元，按规定全部结转下年使用。</w:t>
      </w:r>
    </w:p>
    <w:p w14:paraId="2120D258">
      <w:pPr>
        <w:overflowPunct w:val="0"/>
        <w:spacing w:line="554" w:lineRule="exact"/>
        <w:ind w:firstLine="643" w:firstLineChars="200"/>
        <w:rPr>
          <w:rFonts w:eastAsia="楷体_GB2312" w:cs="Times New Roman"/>
          <w:b/>
          <w:sz w:val="32"/>
          <w:szCs w:val="32"/>
        </w:rPr>
      </w:pPr>
      <w:r>
        <w:rPr>
          <w:rFonts w:eastAsia="楷体_GB2312" w:cs="Times New Roman"/>
          <w:b/>
          <w:sz w:val="32"/>
          <w:szCs w:val="32"/>
        </w:rPr>
        <w:t>（二）政府性基金预算收支及平衡情况</w:t>
      </w:r>
    </w:p>
    <w:p w14:paraId="35FDD41D">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1.收入情况</w:t>
      </w:r>
    </w:p>
    <w:p w14:paraId="7C9EF7DC">
      <w:pPr>
        <w:overflowPunct w:val="0"/>
        <w:spacing w:line="554" w:lineRule="exact"/>
        <w:ind w:firstLine="640" w:firstLineChars="200"/>
        <w:rPr>
          <w:rFonts w:eastAsia="仿宋_GB2312" w:cs="Times New Roman"/>
          <w:sz w:val="32"/>
          <w:szCs w:val="32"/>
        </w:rPr>
      </w:pPr>
      <w:r>
        <w:rPr>
          <w:rFonts w:eastAsia="仿宋_GB2312" w:cs="Times New Roman"/>
          <w:sz w:val="32"/>
          <w:szCs w:val="32"/>
        </w:rPr>
        <w:t>本级政府性基金无收入；上级补助收入</w:t>
      </w:r>
      <w:r>
        <w:rPr>
          <w:rFonts w:hint="eastAsia" w:eastAsia="仿宋_GB2312" w:cs="Times New Roman"/>
          <w:sz w:val="32"/>
          <w:szCs w:val="32"/>
        </w:rPr>
        <w:t>110927</w:t>
      </w:r>
      <w:r>
        <w:rPr>
          <w:rFonts w:eastAsia="仿宋_GB2312" w:cs="Times New Roman"/>
          <w:sz w:val="32"/>
          <w:szCs w:val="32"/>
        </w:rPr>
        <w:t>万元；上年结余</w:t>
      </w:r>
      <w:r>
        <w:rPr>
          <w:rFonts w:hint="eastAsia" w:eastAsia="仿宋_GB2312" w:cs="Times New Roman"/>
          <w:sz w:val="32"/>
          <w:szCs w:val="32"/>
        </w:rPr>
        <w:t>14519</w:t>
      </w:r>
      <w:r>
        <w:rPr>
          <w:rFonts w:eastAsia="仿宋_GB2312" w:cs="Times New Roman"/>
          <w:sz w:val="32"/>
          <w:szCs w:val="32"/>
        </w:rPr>
        <w:t>万元；调入资金</w:t>
      </w:r>
      <w:r>
        <w:rPr>
          <w:rFonts w:hint="eastAsia" w:eastAsia="仿宋_GB2312" w:cs="Times New Roman"/>
          <w:sz w:val="32"/>
          <w:szCs w:val="32"/>
        </w:rPr>
        <w:t>20007</w:t>
      </w:r>
      <w:r>
        <w:rPr>
          <w:rFonts w:eastAsia="仿宋_GB2312" w:cs="Times New Roman"/>
          <w:sz w:val="32"/>
          <w:szCs w:val="32"/>
        </w:rPr>
        <w:t>万元；地方政府专项债务转贷收入</w:t>
      </w:r>
      <w:r>
        <w:rPr>
          <w:rFonts w:hint="eastAsia" w:eastAsia="仿宋_GB2312" w:cs="Times New Roman"/>
          <w:sz w:val="32"/>
          <w:szCs w:val="32"/>
        </w:rPr>
        <w:t>85343</w:t>
      </w:r>
      <w:r>
        <w:rPr>
          <w:rFonts w:eastAsia="仿宋_GB2312" w:cs="Times New Roman"/>
          <w:sz w:val="32"/>
          <w:szCs w:val="32"/>
        </w:rPr>
        <w:t>万元；收入合计</w:t>
      </w:r>
      <w:r>
        <w:rPr>
          <w:rFonts w:hint="eastAsia" w:eastAsia="仿宋_GB2312" w:cs="Times New Roman"/>
          <w:sz w:val="32"/>
          <w:szCs w:val="32"/>
        </w:rPr>
        <w:t>230796</w:t>
      </w:r>
      <w:r>
        <w:rPr>
          <w:rFonts w:eastAsia="仿宋_GB2312" w:cs="Times New Roman"/>
          <w:sz w:val="32"/>
          <w:szCs w:val="32"/>
        </w:rPr>
        <w:t>万元。</w:t>
      </w:r>
    </w:p>
    <w:p w14:paraId="0C1C8934">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2.支出情况</w:t>
      </w:r>
    </w:p>
    <w:p w14:paraId="1A608CCB">
      <w:pPr>
        <w:overflowPunct w:val="0"/>
        <w:spacing w:line="554" w:lineRule="exact"/>
        <w:ind w:firstLine="640" w:firstLineChars="200"/>
        <w:rPr>
          <w:rFonts w:eastAsia="仿宋_GB2312" w:cs="Times New Roman"/>
          <w:sz w:val="32"/>
          <w:szCs w:val="32"/>
        </w:rPr>
      </w:pPr>
      <w:r>
        <w:rPr>
          <w:rFonts w:eastAsia="仿宋_GB2312" w:cs="Times New Roman"/>
          <w:sz w:val="32"/>
          <w:szCs w:val="32"/>
        </w:rPr>
        <w:t>政府性基金支出</w:t>
      </w:r>
      <w:r>
        <w:rPr>
          <w:rFonts w:hint="eastAsia" w:eastAsia="仿宋_GB2312" w:cs="Times New Roman"/>
          <w:sz w:val="32"/>
          <w:szCs w:val="32"/>
        </w:rPr>
        <w:t>118011</w:t>
      </w:r>
      <w:r>
        <w:rPr>
          <w:rFonts w:eastAsia="仿宋_GB2312" w:cs="Times New Roman"/>
          <w:sz w:val="32"/>
          <w:szCs w:val="32"/>
        </w:rPr>
        <w:t>万元，比上年减少</w:t>
      </w:r>
      <w:r>
        <w:rPr>
          <w:rFonts w:hint="eastAsia" w:eastAsia="仿宋_GB2312" w:cs="Times New Roman"/>
          <w:sz w:val="32"/>
          <w:szCs w:val="32"/>
        </w:rPr>
        <w:t>33232</w:t>
      </w:r>
      <w:r>
        <w:rPr>
          <w:rFonts w:eastAsia="仿宋_GB2312" w:cs="Times New Roman"/>
          <w:sz w:val="32"/>
          <w:szCs w:val="32"/>
        </w:rPr>
        <w:t>万元，下降</w:t>
      </w:r>
      <w:r>
        <w:rPr>
          <w:rFonts w:hint="eastAsia" w:eastAsia="仿宋_GB2312" w:cs="Times New Roman"/>
          <w:sz w:val="32"/>
          <w:szCs w:val="32"/>
        </w:rPr>
        <w:t>22.0</w:t>
      </w:r>
      <w:r>
        <w:rPr>
          <w:rFonts w:eastAsia="仿宋_GB2312" w:cs="Times New Roman"/>
          <w:sz w:val="32"/>
          <w:szCs w:val="32"/>
        </w:rPr>
        <w:t>%；调出资金</w:t>
      </w:r>
      <w:r>
        <w:rPr>
          <w:rFonts w:hint="eastAsia" w:eastAsia="仿宋_GB2312" w:cs="Times New Roman"/>
          <w:sz w:val="32"/>
          <w:szCs w:val="32"/>
        </w:rPr>
        <w:t>30000</w:t>
      </w:r>
      <w:r>
        <w:rPr>
          <w:rFonts w:eastAsia="仿宋_GB2312" w:cs="Times New Roman"/>
          <w:sz w:val="32"/>
          <w:szCs w:val="32"/>
        </w:rPr>
        <w:t>万元；地方政府专项债务还本支出</w:t>
      </w:r>
      <w:r>
        <w:rPr>
          <w:rFonts w:hint="eastAsia" w:eastAsia="仿宋_GB2312" w:cs="Times New Roman"/>
          <w:sz w:val="32"/>
          <w:szCs w:val="32"/>
        </w:rPr>
        <w:t>6290</w:t>
      </w:r>
      <w:r>
        <w:rPr>
          <w:rFonts w:eastAsia="仿宋_GB2312" w:cs="Times New Roman"/>
          <w:sz w:val="32"/>
          <w:szCs w:val="32"/>
        </w:rPr>
        <w:t>万元；支出合计</w:t>
      </w:r>
      <w:r>
        <w:rPr>
          <w:rFonts w:hint="eastAsia" w:eastAsia="仿宋_GB2312" w:cs="Times New Roman"/>
          <w:sz w:val="32"/>
          <w:szCs w:val="32"/>
        </w:rPr>
        <w:t>154301</w:t>
      </w:r>
      <w:r>
        <w:rPr>
          <w:rFonts w:eastAsia="仿宋_GB2312" w:cs="Times New Roman"/>
          <w:sz w:val="32"/>
          <w:szCs w:val="32"/>
        </w:rPr>
        <w:t>万元。 </w:t>
      </w:r>
    </w:p>
    <w:p w14:paraId="54B4801B">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3.平衡情况</w:t>
      </w:r>
    </w:p>
    <w:p w14:paraId="5B84B856">
      <w:pPr>
        <w:overflowPunct w:val="0"/>
        <w:spacing w:line="554" w:lineRule="exact"/>
        <w:ind w:firstLine="640" w:firstLineChars="200"/>
        <w:rPr>
          <w:rFonts w:eastAsia="仿宋_GB2312" w:cs="Times New Roman"/>
          <w:sz w:val="32"/>
          <w:szCs w:val="32"/>
        </w:rPr>
      </w:pPr>
      <w:r>
        <w:rPr>
          <w:rFonts w:eastAsia="仿宋_GB2312" w:cs="Times New Roman"/>
          <w:sz w:val="32"/>
          <w:szCs w:val="32"/>
        </w:rPr>
        <w:t>收支相抵，政府性基金年终结余</w:t>
      </w:r>
      <w:r>
        <w:rPr>
          <w:rFonts w:hint="eastAsia" w:eastAsia="仿宋_GB2312" w:cs="Times New Roman"/>
          <w:sz w:val="32"/>
          <w:szCs w:val="32"/>
        </w:rPr>
        <w:t>76495</w:t>
      </w:r>
      <w:r>
        <w:rPr>
          <w:rFonts w:eastAsia="仿宋_GB2312" w:cs="Times New Roman"/>
          <w:sz w:val="32"/>
          <w:szCs w:val="32"/>
        </w:rPr>
        <w:t>万元(全部为省市专项结余），比上年</w:t>
      </w:r>
      <w:r>
        <w:rPr>
          <w:rFonts w:hint="eastAsia" w:eastAsia="仿宋_GB2312" w:cs="Times New Roman"/>
          <w:sz w:val="32"/>
          <w:szCs w:val="32"/>
        </w:rPr>
        <w:t>增加61976</w:t>
      </w:r>
      <w:r>
        <w:rPr>
          <w:rFonts w:eastAsia="仿宋_GB2312" w:cs="Times New Roman"/>
          <w:sz w:val="32"/>
          <w:szCs w:val="32"/>
        </w:rPr>
        <w:t>万元，按规定</w:t>
      </w:r>
      <w:r>
        <w:rPr>
          <w:rFonts w:hint="eastAsia" w:eastAsia="仿宋_GB2312" w:cs="Times New Roman"/>
          <w:sz w:val="32"/>
          <w:szCs w:val="32"/>
        </w:rPr>
        <w:t>全部</w:t>
      </w:r>
      <w:r>
        <w:rPr>
          <w:rFonts w:eastAsia="仿宋_GB2312" w:cs="Times New Roman"/>
          <w:sz w:val="32"/>
          <w:szCs w:val="32"/>
        </w:rPr>
        <w:t>结转下年使用。</w:t>
      </w:r>
    </w:p>
    <w:p w14:paraId="1012E4F5">
      <w:pPr>
        <w:overflowPunct w:val="0"/>
        <w:spacing w:line="554" w:lineRule="exact"/>
        <w:ind w:firstLine="643" w:firstLineChars="200"/>
        <w:rPr>
          <w:rFonts w:eastAsia="楷体_GB2312" w:cs="Times New Roman"/>
          <w:b/>
          <w:sz w:val="32"/>
          <w:szCs w:val="32"/>
        </w:rPr>
      </w:pPr>
      <w:r>
        <w:rPr>
          <w:rFonts w:eastAsia="楷体_GB2312" w:cs="Times New Roman"/>
          <w:b/>
          <w:sz w:val="32"/>
          <w:szCs w:val="32"/>
        </w:rPr>
        <w:t>（三）国有资本经营预算收支及平衡情况</w:t>
      </w:r>
    </w:p>
    <w:p w14:paraId="38420C5E">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1.收入情况</w:t>
      </w:r>
    </w:p>
    <w:p w14:paraId="130A8A0A">
      <w:pPr>
        <w:overflowPunct w:val="0"/>
        <w:spacing w:line="554" w:lineRule="exact"/>
        <w:ind w:firstLine="640" w:firstLineChars="200"/>
        <w:rPr>
          <w:rFonts w:eastAsia="仿宋_GB2312" w:cs="Times New Roman"/>
          <w:sz w:val="32"/>
          <w:szCs w:val="32"/>
        </w:rPr>
      </w:pPr>
      <w:r>
        <w:rPr>
          <w:rFonts w:eastAsia="仿宋_GB2312" w:cs="Times New Roman"/>
          <w:sz w:val="32"/>
          <w:szCs w:val="32"/>
        </w:rPr>
        <w:t>国有资本经营预算收入</w:t>
      </w:r>
      <w:r>
        <w:rPr>
          <w:rFonts w:hint="eastAsia" w:eastAsia="仿宋_GB2312" w:cs="Times New Roman"/>
          <w:sz w:val="32"/>
          <w:szCs w:val="32"/>
        </w:rPr>
        <w:t>1685万元</w:t>
      </w:r>
      <w:r>
        <w:rPr>
          <w:rFonts w:eastAsia="仿宋_GB2312" w:cs="Times New Roman"/>
          <w:sz w:val="32"/>
          <w:szCs w:val="32"/>
        </w:rPr>
        <w:t>，上年无结余，上级补助收入51万元，收入合计</w:t>
      </w:r>
      <w:r>
        <w:rPr>
          <w:rFonts w:hint="eastAsia" w:eastAsia="仿宋_GB2312" w:cs="Times New Roman"/>
          <w:sz w:val="32"/>
          <w:szCs w:val="32"/>
        </w:rPr>
        <w:t>1736</w:t>
      </w:r>
      <w:r>
        <w:rPr>
          <w:rFonts w:eastAsia="仿宋_GB2312" w:cs="Times New Roman"/>
          <w:sz w:val="32"/>
          <w:szCs w:val="32"/>
        </w:rPr>
        <w:t>万元。</w:t>
      </w:r>
    </w:p>
    <w:p w14:paraId="6DD3F306">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2.支出情况</w:t>
      </w:r>
    </w:p>
    <w:p w14:paraId="73DE950B">
      <w:pPr>
        <w:overflowPunct w:val="0"/>
        <w:spacing w:line="554" w:lineRule="exact"/>
        <w:ind w:firstLine="640" w:firstLineChars="200"/>
        <w:rPr>
          <w:rFonts w:eastAsia="仿宋_GB2312" w:cs="Times New Roman"/>
          <w:sz w:val="32"/>
          <w:szCs w:val="32"/>
        </w:rPr>
      </w:pPr>
      <w:r>
        <w:rPr>
          <w:rFonts w:eastAsia="仿宋_GB2312" w:cs="Times New Roman"/>
          <w:sz w:val="32"/>
          <w:szCs w:val="32"/>
        </w:rPr>
        <w:t>国有资本经营预算支出</w:t>
      </w:r>
      <w:r>
        <w:rPr>
          <w:rFonts w:hint="eastAsia" w:eastAsia="仿宋_GB2312" w:cs="Times New Roman"/>
          <w:sz w:val="32"/>
          <w:szCs w:val="32"/>
        </w:rPr>
        <w:t>989</w:t>
      </w:r>
      <w:r>
        <w:rPr>
          <w:rFonts w:eastAsia="仿宋_GB2312" w:cs="Times New Roman"/>
          <w:sz w:val="32"/>
          <w:szCs w:val="32"/>
        </w:rPr>
        <w:t>万元，</w:t>
      </w:r>
      <w:r>
        <w:rPr>
          <w:rFonts w:hint="eastAsia" w:eastAsia="仿宋_GB2312" w:cs="Times New Roman"/>
          <w:sz w:val="32"/>
          <w:szCs w:val="32"/>
        </w:rPr>
        <w:t>调出资金402万元，</w:t>
      </w:r>
      <w:r>
        <w:rPr>
          <w:rFonts w:eastAsia="仿宋_GB2312" w:cs="Times New Roman"/>
          <w:sz w:val="32"/>
          <w:szCs w:val="32"/>
        </w:rPr>
        <w:t>支出合计</w:t>
      </w:r>
      <w:r>
        <w:rPr>
          <w:rFonts w:hint="eastAsia" w:eastAsia="仿宋_GB2312" w:cs="Times New Roman"/>
          <w:sz w:val="32"/>
          <w:szCs w:val="32"/>
        </w:rPr>
        <w:t>1391</w:t>
      </w:r>
      <w:r>
        <w:rPr>
          <w:rFonts w:eastAsia="仿宋_GB2312" w:cs="Times New Roman"/>
          <w:sz w:val="32"/>
          <w:szCs w:val="32"/>
        </w:rPr>
        <w:t>万元。</w:t>
      </w:r>
    </w:p>
    <w:p w14:paraId="23BD4154">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3.平衡情况</w:t>
      </w:r>
    </w:p>
    <w:p w14:paraId="6AD28788">
      <w:pPr>
        <w:overflowPunct w:val="0"/>
        <w:spacing w:line="554" w:lineRule="exact"/>
        <w:ind w:firstLine="640" w:firstLineChars="200"/>
        <w:rPr>
          <w:rFonts w:eastAsia="仿宋_GB2312" w:cs="Times New Roman"/>
          <w:sz w:val="32"/>
          <w:szCs w:val="32"/>
        </w:rPr>
      </w:pPr>
      <w:r>
        <w:rPr>
          <w:rFonts w:eastAsia="仿宋_GB2312" w:cs="Times New Roman"/>
          <w:sz w:val="32"/>
          <w:szCs w:val="32"/>
        </w:rPr>
        <w:t>收支相抵，年</w:t>
      </w:r>
      <w:r>
        <w:rPr>
          <w:rFonts w:hint="eastAsia" w:eastAsia="仿宋_GB2312" w:cs="Times New Roman"/>
          <w:sz w:val="32"/>
          <w:szCs w:val="32"/>
        </w:rPr>
        <w:t>末</w:t>
      </w:r>
      <w:r>
        <w:rPr>
          <w:rFonts w:eastAsia="仿宋_GB2312" w:cs="Times New Roman"/>
          <w:sz w:val="32"/>
          <w:szCs w:val="32"/>
        </w:rPr>
        <w:t>结余</w:t>
      </w:r>
      <w:r>
        <w:rPr>
          <w:rFonts w:hint="eastAsia" w:eastAsia="仿宋_GB2312" w:cs="Times New Roman"/>
          <w:sz w:val="32"/>
          <w:szCs w:val="32"/>
        </w:rPr>
        <w:t>345万元，</w:t>
      </w:r>
      <w:r>
        <w:rPr>
          <w:rFonts w:eastAsia="仿宋_GB2312" w:cs="Times New Roman"/>
          <w:sz w:val="32"/>
          <w:szCs w:val="32"/>
        </w:rPr>
        <w:t>按规定</w:t>
      </w:r>
      <w:r>
        <w:rPr>
          <w:rFonts w:hint="eastAsia" w:eastAsia="仿宋_GB2312" w:cs="Times New Roman"/>
          <w:sz w:val="32"/>
          <w:szCs w:val="32"/>
        </w:rPr>
        <w:t>全部</w:t>
      </w:r>
      <w:r>
        <w:rPr>
          <w:rFonts w:eastAsia="仿宋_GB2312" w:cs="Times New Roman"/>
          <w:sz w:val="32"/>
          <w:szCs w:val="32"/>
        </w:rPr>
        <w:t>结转下年使用。</w:t>
      </w:r>
    </w:p>
    <w:p w14:paraId="45B29C43">
      <w:pPr>
        <w:overflowPunct w:val="0"/>
        <w:spacing w:line="554" w:lineRule="exact"/>
        <w:ind w:firstLine="643" w:firstLineChars="200"/>
        <w:rPr>
          <w:rFonts w:eastAsia="楷体_GB2312" w:cs="Times New Roman"/>
          <w:b/>
          <w:sz w:val="32"/>
          <w:szCs w:val="32"/>
        </w:rPr>
      </w:pPr>
      <w:r>
        <w:rPr>
          <w:rFonts w:eastAsia="楷体_GB2312" w:cs="Times New Roman"/>
          <w:b/>
          <w:sz w:val="32"/>
          <w:szCs w:val="32"/>
        </w:rPr>
        <w:t>（四）社会保险基金预算收支及平衡情况</w:t>
      </w:r>
    </w:p>
    <w:p w14:paraId="49A15775">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1.收入情况</w:t>
      </w:r>
    </w:p>
    <w:p w14:paraId="7027EA0D">
      <w:pPr>
        <w:overflowPunct w:val="0"/>
        <w:spacing w:line="554" w:lineRule="exact"/>
        <w:ind w:firstLine="640" w:firstLineChars="200"/>
        <w:rPr>
          <w:rFonts w:eastAsia="仿宋_GB2312" w:cs="Times New Roman"/>
          <w:sz w:val="32"/>
          <w:szCs w:val="32"/>
        </w:rPr>
      </w:pPr>
      <w:r>
        <w:rPr>
          <w:rFonts w:eastAsia="仿宋_GB2312" w:cs="Times New Roman"/>
          <w:sz w:val="32"/>
          <w:szCs w:val="32"/>
        </w:rPr>
        <w:t>社会保险基金收入</w:t>
      </w:r>
      <w:r>
        <w:rPr>
          <w:rFonts w:hint="eastAsia" w:eastAsia="仿宋_GB2312" w:cs="Times New Roman"/>
          <w:sz w:val="32"/>
          <w:szCs w:val="32"/>
        </w:rPr>
        <w:t>24663</w:t>
      </w:r>
      <w:r>
        <w:rPr>
          <w:rFonts w:eastAsia="仿宋_GB2312" w:cs="Times New Roman"/>
          <w:sz w:val="32"/>
          <w:szCs w:val="32"/>
        </w:rPr>
        <w:t>万元，完成年初预算的1</w:t>
      </w:r>
      <w:r>
        <w:rPr>
          <w:rFonts w:hint="eastAsia" w:eastAsia="仿宋_GB2312" w:cs="Times New Roman"/>
          <w:sz w:val="32"/>
          <w:szCs w:val="32"/>
        </w:rPr>
        <w:t>03.0</w:t>
      </w:r>
      <w:r>
        <w:rPr>
          <w:rFonts w:eastAsia="仿宋_GB2312" w:cs="Times New Roman"/>
          <w:sz w:val="32"/>
          <w:szCs w:val="32"/>
        </w:rPr>
        <w:t>%，比上年增加</w:t>
      </w:r>
      <w:r>
        <w:rPr>
          <w:rFonts w:hint="eastAsia" w:eastAsia="仿宋_GB2312" w:cs="Times New Roman"/>
          <w:sz w:val="32"/>
          <w:szCs w:val="32"/>
        </w:rPr>
        <w:t>2041</w:t>
      </w:r>
      <w:r>
        <w:rPr>
          <w:rFonts w:eastAsia="仿宋_GB2312" w:cs="Times New Roman"/>
          <w:sz w:val="32"/>
          <w:szCs w:val="32"/>
        </w:rPr>
        <w:t>万元，增长</w:t>
      </w:r>
      <w:r>
        <w:rPr>
          <w:rFonts w:hint="eastAsia" w:eastAsia="仿宋_GB2312" w:cs="Times New Roman"/>
          <w:sz w:val="32"/>
          <w:szCs w:val="32"/>
        </w:rPr>
        <w:t>9.0</w:t>
      </w:r>
      <w:r>
        <w:rPr>
          <w:rFonts w:eastAsia="仿宋_GB2312" w:cs="Times New Roman"/>
          <w:sz w:val="32"/>
          <w:szCs w:val="32"/>
        </w:rPr>
        <w:t>%，上年结余</w:t>
      </w:r>
      <w:r>
        <w:rPr>
          <w:rFonts w:hint="eastAsia" w:eastAsia="仿宋_GB2312" w:cs="Times New Roman"/>
          <w:sz w:val="32"/>
          <w:szCs w:val="32"/>
        </w:rPr>
        <w:t>17046</w:t>
      </w:r>
      <w:r>
        <w:rPr>
          <w:rFonts w:eastAsia="仿宋_GB2312" w:cs="Times New Roman"/>
          <w:sz w:val="32"/>
          <w:szCs w:val="32"/>
        </w:rPr>
        <w:t>万元，收入合计</w:t>
      </w:r>
      <w:r>
        <w:rPr>
          <w:rFonts w:hint="eastAsia" w:eastAsia="仿宋_GB2312" w:cs="Times New Roman"/>
          <w:sz w:val="32"/>
          <w:szCs w:val="32"/>
        </w:rPr>
        <w:t>41709</w:t>
      </w:r>
      <w:r>
        <w:rPr>
          <w:rFonts w:eastAsia="仿宋_GB2312" w:cs="Times New Roman"/>
          <w:sz w:val="32"/>
          <w:szCs w:val="32"/>
        </w:rPr>
        <w:t>万元。</w:t>
      </w:r>
    </w:p>
    <w:p w14:paraId="125D1409">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2.支出情况</w:t>
      </w:r>
    </w:p>
    <w:p w14:paraId="00878430">
      <w:pPr>
        <w:overflowPunct w:val="0"/>
        <w:spacing w:line="554" w:lineRule="exact"/>
        <w:ind w:firstLine="640" w:firstLineChars="200"/>
        <w:rPr>
          <w:rFonts w:eastAsia="仿宋_GB2312" w:cs="Times New Roman"/>
          <w:sz w:val="32"/>
          <w:szCs w:val="32"/>
        </w:rPr>
      </w:pPr>
      <w:r>
        <w:rPr>
          <w:rFonts w:eastAsia="仿宋_GB2312" w:cs="Times New Roman"/>
          <w:sz w:val="32"/>
          <w:szCs w:val="32"/>
        </w:rPr>
        <w:t>社会保险基金支出</w:t>
      </w:r>
      <w:r>
        <w:rPr>
          <w:rFonts w:hint="eastAsia" w:eastAsia="仿宋_GB2312" w:cs="Times New Roman"/>
          <w:sz w:val="32"/>
          <w:szCs w:val="32"/>
        </w:rPr>
        <w:t>22833</w:t>
      </w:r>
      <w:r>
        <w:rPr>
          <w:rFonts w:eastAsia="仿宋_GB2312" w:cs="Times New Roman"/>
          <w:sz w:val="32"/>
          <w:szCs w:val="32"/>
        </w:rPr>
        <w:t>万元，完成年初预算的</w:t>
      </w:r>
      <w:r>
        <w:rPr>
          <w:rFonts w:hint="eastAsia" w:eastAsia="仿宋_GB2312" w:cs="Times New Roman"/>
          <w:sz w:val="32"/>
          <w:szCs w:val="32"/>
        </w:rPr>
        <w:t>100.1</w:t>
      </w:r>
      <w:r>
        <w:rPr>
          <w:rFonts w:eastAsia="仿宋_GB2312" w:cs="Times New Roman"/>
          <w:sz w:val="32"/>
          <w:szCs w:val="32"/>
        </w:rPr>
        <w:t>%，比上年增加</w:t>
      </w:r>
      <w:r>
        <w:rPr>
          <w:rFonts w:hint="eastAsia" w:eastAsia="仿宋_GB2312" w:cs="Times New Roman"/>
          <w:sz w:val="32"/>
          <w:szCs w:val="32"/>
        </w:rPr>
        <w:t>1222</w:t>
      </w:r>
      <w:r>
        <w:rPr>
          <w:rFonts w:eastAsia="仿宋_GB2312" w:cs="Times New Roman"/>
          <w:sz w:val="32"/>
          <w:szCs w:val="32"/>
        </w:rPr>
        <w:t>万元，增长</w:t>
      </w:r>
      <w:r>
        <w:rPr>
          <w:rFonts w:hint="eastAsia" w:eastAsia="仿宋_GB2312" w:cs="Times New Roman"/>
          <w:sz w:val="32"/>
          <w:szCs w:val="32"/>
        </w:rPr>
        <w:t>5.7</w:t>
      </w:r>
      <w:r>
        <w:rPr>
          <w:rFonts w:eastAsia="仿宋_GB2312" w:cs="Times New Roman"/>
          <w:sz w:val="32"/>
          <w:szCs w:val="32"/>
        </w:rPr>
        <w:t>%。</w:t>
      </w:r>
    </w:p>
    <w:p w14:paraId="65117CD4">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3.平衡情况</w:t>
      </w:r>
    </w:p>
    <w:p w14:paraId="2E0C32E3">
      <w:pPr>
        <w:overflowPunct w:val="0"/>
        <w:spacing w:line="554" w:lineRule="exact"/>
        <w:ind w:firstLine="640" w:firstLineChars="200"/>
        <w:rPr>
          <w:rFonts w:eastAsia="仿宋_GB2312" w:cs="Times New Roman"/>
          <w:sz w:val="32"/>
          <w:szCs w:val="32"/>
        </w:rPr>
      </w:pPr>
      <w:r>
        <w:rPr>
          <w:rFonts w:eastAsia="仿宋_GB2312" w:cs="Times New Roman"/>
          <w:sz w:val="32"/>
          <w:szCs w:val="32"/>
        </w:rPr>
        <w:t>收支相抵，社会保险基金本年结余</w:t>
      </w:r>
      <w:r>
        <w:rPr>
          <w:rFonts w:hint="eastAsia" w:eastAsia="仿宋_GB2312" w:cs="Times New Roman"/>
          <w:sz w:val="32"/>
          <w:szCs w:val="32"/>
        </w:rPr>
        <w:t>1830</w:t>
      </w:r>
      <w:r>
        <w:rPr>
          <w:rFonts w:eastAsia="仿宋_GB2312" w:cs="Times New Roman"/>
          <w:sz w:val="32"/>
          <w:szCs w:val="32"/>
        </w:rPr>
        <w:t>万元，年末滚存结余</w:t>
      </w:r>
      <w:r>
        <w:rPr>
          <w:rFonts w:hint="eastAsia" w:eastAsia="仿宋_GB2312" w:cs="Times New Roman"/>
          <w:sz w:val="32"/>
          <w:szCs w:val="32"/>
        </w:rPr>
        <w:t>18876</w:t>
      </w:r>
      <w:r>
        <w:rPr>
          <w:rFonts w:eastAsia="仿宋_GB2312" w:cs="Times New Roman"/>
          <w:sz w:val="32"/>
          <w:szCs w:val="32"/>
        </w:rPr>
        <w:t>万元</w:t>
      </w:r>
      <w:r>
        <w:rPr>
          <w:rFonts w:hint="eastAsia" w:eastAsia="仿宋_GB2312" w:cs="Times New Roman"/>
          <w:sz w:val="32"/>
          <w:szCs w:val="32"/>
        </w:rPr>
        <w:t>，</w:t>
      </w:r>
      <w:r>
        <w:rPr>
          <w:rFonts w:eastAsia="仿宋_GB2312" w:cs="Times New Roman"/>
          <w:sz w:val="32"/>
          <w:szCs w:val="32"/>
        </w:rPr>
        <w:t>按规定</w:t>
      </w:r>
      <w:r>
        <w:rPr>
          <w:rFonts w:hint="eastAsia" w:eastAsia="仿宋_GB2312" w:cs="Times New Roman"/>
          <w:sz w:val="32"/>
          <w:szCs w:val="32"/>
        </w:rPr>
        <w:t>全部</w:t>
      </w:r>
      <w:r>
        <w:rPr>
          <w:rFonts w:eastAsia="仿宋_GB2312" w:cs="Times New Roman"/>
          <w:sz w:val="32"/>
          <w:szCs w:val="32"/>
        </w:rPr>
        <w:t>结转下年使用。</w:t>
      </w:r>
    </w:p>
    <w:p w14:paraId="0F075DE1">
      <w:pPr>
        <w:overflowPunct w:val="0"/>
        <w:spacing w:line="554" w:lineRule="exact"/>
        <w:ind w:firstLine="640" w:firstLineChars="200"/>
        <w:rPr>
          <w:rFonts w:eastAsia="黑体" w:cs="Times New Roman"/>
          <w:sz w:val="32"/>
          <w:szCs w:val="32"/>
        </w:rPr>
      </w:pPr>
      <w:r>
        <w:rPr>
          <w:rFonts w:eastAsia="黑体" w:cs="Times New Roman"/>
          <w:sz w:val="32"/>
          <w:szCs w:val="32"/>
        </w:rPr>
        <w:t>二、其他有关事项说明</w:t>
      </w:r>
    </w:p>
    <w:p w14:paraId="0489E979">
      <w:pPr>
        <w:overflowPunct w:val="0"/>
        <w:spacing w:line="554" w:lineRule="exact"/>
        <w:ind w:firstLine="643" w:firstLineChars="200"/>
        <w:rPr>
          <w:rFonts w:eastAsia="楷体_GB2312" w:cs="Times New Roman"/>
          <w:b/>
          <w:sz w:val="32"/>
          <w:szCs w:val="32"/>
        </w:rPr>
      </w:pPr>
      <w:r>
        <w:rPr>
          <w:rFonts w:hint="eastAsia" w:eastAsia="楷体_GB2312" w:cs="Times New Roman"/>
          <w:b/>
          <w:sz w:val="32"/>
          <w:szCs w:val="32"/>
        </w:rPr>
        <w:t>（一）政府债务情况</w:t>
      </w:r>
    </w:p>
    <w:p w14:paraId="2ED5F3BE">
      <w:pPr>
        <w:overflowPunct w:val="0"/>
        <w:spacing w:line="554" w:lineRule="exact"/>
        <w:ind w:firstLine="960" w:firstLineChars="300"/>
        <w:rPr>
          <w:rFonts w:eastAsia="仿宋_GB2312" w:cs="Times New Roman"/>
          <w:sz w:val="32"/>
          <w:szCs w:val="32"/>
        </w:rPr>
      </w:pPr>
      <w:r>
        <w:rPr>
          <w:rFonts w:hint="eastAsia" w:eastAsia="仿宋_GB2312" w:cs="Times New Roman"/>
          <w:sz w:val="32"/>
          <w:szCs w:val="32"/>
        </w:rPr>
        <w:t>2025年省财政厅核定本级新增一般债务限额7651万元，主要用于教育和环保支出；新增专项债务限额82481万元，用于城镇老旧小区改造、公共卫生设施建设、产业园区基础设施建设、其他社会事业等领域。年终政府债务余额726549万元（其中：一般债务151699万元、专项债务574850万元），政府债务余额严格控制在省财政厅核定的限额744552万元内(其中：一般债务限额162997万元、专项债务限额581555万元）,债务风险总体可控。以上政府债务余额比《泉州市丰泽区2025年预算执行情况及2026年预算草案》债务余额少2万元，主要是世行贷款还本产生汇率差异；政府债务限额比《泉州市丰泽区2025年预算执行情况及2026年预算草案》的债务限额753012万元减少8460万元，主要是依据《福建省财政厅关于核定2025年政府债务限额的通知》（闽财债管〔2026〕5号）省财政厅收回2025年债务限额8460万元，（其中：一般债务限额收回5886万元、专项债务限额收回2574万元）。</w:t>
      </w:r>
    </w:p>
    <w:p w14:paraId="24A9F9E2">
      <w:pPr>
        <w:overflowPunct w:val="0"/>
        <w:spacing w:line="554" w:lineRule="exact"/>
        <w:ind w:firstLine="640" w:firstLineChars="200"/>
        <w:rPr>
          <w:rFonts w:eastAsia="仿宋_GB2312" w:cs="Times New Roman"/>
          <w:sz w:val="32"/>
          <w:szCs w:val="32"/>
        </w:rPr>
      </w:pPr>
      <w:r>
        <w:rPr>
          <w:rFonts w:hint="eastAsia" w:eastAsia="仿宋_GB2312" w:cs="Times New Roman"/>
          <w:sz w:val="32"/>
          <w:szCs w:val="32"/>
        </w:rPr>
        <w:t>2025年地方政府债务还本31861万元，其中：一般债务还本支出25571万元(其中世行贷款还本10万元)，地方政府专项债务还本支出6290万元；地方政府债务付息支出21041万元，其中：一般债务付息支出4777万元；地方政府专项债务付息支出16264万元。</w:t>
      </w:r>
    </w:p>
    <w:p w14:paraId="14FB3739">
      <w:pPr>
        <w:overflowPunct w:val="0"/>
        <w:spacing w:line="554" w:lineRule="exact"/>
        <w:ind w:firstLine="643" w:firstLineChars="200"/>
        <w:rPr>
          <w:rFonts w:eastAsia="楷体_GB2312" w:cs="Times New Roman"/>
          <w:b/>
          <w:sz w:val="32"/>
          <w:szCs w:val="32"/>
        </w:rPr>
      </w:pPr>
      <w:r>
        <w:rPr>
          <w:rFonts w:hint="eastAsia" w:eastAsia="楷体_GB2312" w:cs="Times New Roman"/>
          <w:b/>
          <w:sz w:val="32"/>
          <w:szCs w:val="32"/>
        </w:rPr>
        <w:t>（二）</w:t>
      </w:r>
      <w:r>
        <w:rPr>
          <w:rFonts w:eastAsia="楷体_GB2312" w:cs="Times New Roman"/>
          <w:b/>
          <w:sz w:val="32"/>
          <w:szCs w:val="32"/>
        </w:rPr>
        <w:t>预算调整及执行情况</w:t>
      </w:r>
    </w:p>
    <w:p w14:paraId="3139EFD8">
      <w:pPr>
        <w:overflowPunct w:val="0"/>
        <w:spacing w:line="554" w:lineRule="exact"/>
        <w:ind w:firstLine="640" w:firstLineChars="200"/>
        <w:rPr>
          <w:rFonts w:eastAsia="仿宋_GB2312" w:cs="Times New Roman"/>
          <w:sz w:val="32"/>
          <w:szCs w:val="32"/>
        </w:rPr>
      </w:pPr>
      <w:r>
        <w:rPr>
          <w:rFonts w:hint="eastAsia" w:eastAsia="仿宋_GB2312" w:cs="Times New Roman"/>
          <w:sz w:val="32"/>
          <w:szCs w:val="32"/>
        </w:rPr>
        <w:t>2025年3月、6月、8月和11月，报</w:t>
      </w:r>
      <w:r>
        <w:rPr>
          <w:rFonts w:eastAsia="仿宋_GB2312" w:cs="Times New Roman"/>
          <w:sz w:val="32"/>
          <w:szCs w:val="32"/>
        </w:rPr>
        <w:t>经区</w:t>
      </w:r>
      <w:r>
        <w:rPr>
          <w:rFonts w:hint="eastAsia" w:eastAsia="仿宋_GB2312" w:cs="Times New Roman"/>
          <w:sz w:val="32"/>
          <w:szCs w:val="32"/>
        </w:rPr>
        <w:t>第六届人大常委会第二十九次、三十一次、三十四次和三十六次会议</w:t>
      </w:r>
      <w:r>
        <w:rPr>
          <w:rFonts w:eastAsia="仿宋_GB2312" w:cs="Times New Roman"/>
          <w:sz w:val="32"/>
          <w:szCs w:val="32"/>
        </w:rPr>
        <w:t>审议批准，调整202</w:t>
      </w:r>
      <w:r>
        <w:rPr>
          <w:rFonts w:hint="eastAsia" w:eastAsia="仿宋_GB2312" w:cs="Times New Roman"/>
          <w:sz w:val="32"/>
          <w:szCs w:val="32"/>
        </w:rPr>
        <w:t>5</w:t>
      </w:r>
      <w:r>
        <w:rPr>
          <w:rFonts w:eastAsia="仿宋_GB2312" w:cs="Times New Roman"/>
          <w:sz w:val="32"/>
          <w:szCs w:val="32"/>
        </w:rPr>
        <w:t>年一般公共预算和政府性基金预算收支:</w:t>
      </w:r>
    </w:p>
    <w:p w14:paraId="1676CA65">
      <w:pPr>
        <w:numPr>
          <w:ilvl w:val="0"/>
          <w:numId w:val="1"/>
        </w:numPr>
        <w:overflowPunct w:val="0"/>
        <w:spacing w:line="554" w:lineRule="exact"/>
        <w:ind w:firstLine="643" w:firstLineChars="200"/>
        <w:rPr>
          <w:rFonts w:eastAsia="仿宋_GB2312" w:cs="Times New Roman"/>
          <w:b/>
          <w:bCs/>
          <w:sz w:val="32"/>
          <w:szCs w:val="32"/>
        </w:rPr>
      </w:pPr>
      <w:r>
        <w:rPr>
          <w:rFonts w:eastAsia="仿宋_GB2312" w:cs="Times New Roman"/>
          <w:b/>
          <w:bCs/>
          <w:sz w:val="32"/>
          <w:szCs w:val="32"/>
        </w:rPr>
        <w:t>一般公共预算调整</w:t>
      </w:r>
    </w:p>
    <w:p w14:paraId="31E3FCC1">
      <w:pPr>
        <w:overflowPunct w:val="0"/>
        <w:spacing w:line="554" w:lineRule="exact"/>
        <w:ind w:firstLine="640"/>
        <w:rPr>
          <w:rFonts w:ascii="仿宋_GB2312" w:eastAsia="仿宋_GB2312" w:cs="Times New Roman"/>
          <w:sz w:val="32"/>
          <w:szCs w:val="32"/>
        </w:rPr>
      </w:pPr>
      <w:r>
        <w:rPr>
          <w:rFonts w:hint="eastAsia" w:ascii="仿宋_GB2312" w:eastAsia="仿宋_GB2312"/>
          <w:b/>
          <w:bCs/>
          <w:sz w:val="32"/>
          <w:szCs w:val="32"/>
        </w:rPr>
        <w:t>收入方面，</w:t>
      </w:r>
      <w:r>
        <w:rPr>
          <w:rFonts w:hint="eastAsia" w:ascii="仿宋_GB2312" w:eastAsia="仿宋_GB2312"/>
          <w:sz w:val="32"/>
          <w:szCs w:val="32"/>
        </w:rPr>
        <w:t>于3月、8月预算调整分别增加地方政府一般债务转贷收入2515万元和</w:t>
      </w:r>
      <w:r>
        <w:rPr>
          <w:rFonts w:hint="eastAsia" w:ascii="仿宋_GB2312" w:hAnsi="仿宋" w:eastAsia="仿宋_GB2312" w:cs="仿宋_GB2312"/>
          <w:sz w:val="32"/>
          <w:szCs w:val="32"/>
        </w:rPr>
        <w:t>5136</w:t>
      </w:r>
      <w:r>
        <w:rPr>
          <w:rFonts w:hint="eastAsia" w:ascii="仿宋_GB2312" w:eastAsia="仿宋_GB2312"/>
          <w:sz w:val="32"/>
          <w:szCs w:val="32"/>
        </w:rPr>
        <w:t>万元；11月预算调整</w:t>
      </w:r>
      <w:r>
        <w:rPr>
          <w:rFonts w:hint="eastAsia" w:eastAsia="仿宋_GB2312" w:cs="Times New Roman"/>
          <w:sz w:val="32"/>
          <w:szCs w:val="32"/>
        </w:rPr>
        <w:t>增加动用预算稳定调节基金1665万元；增加再融资债券资金置换原本级财力安排还本资金25531万元；增加一般性转移支付收入1540万元。调减一般公共预算收入19000万元。</w:t>
      </w:r>
    </w:p>
    <w:p w14:paraId="001A04F1">
      <w:pPr>
        <w:overflowPunct w:val="0"/>
        <w:spacing w:line="554" w:lineRule="exact"/>
        <w:ind w:firstLine="643" w:firstLineChars="200"/>
        <w:rPr>
          <w:rFonts w:eastAsia="仿宋_GB2312" w:cs="Times New Roman"/>
          <w:sz w:val="32"/>
          <w:szCs w:val="32"/>
        </w:rPr>
      </w:pPr>
      <w:r>
        <w:rPr>
          <w:rFonts w:hint="eastAsia" w:ascii="仿宋_GB2312" w:eastAsia="仿宋_GB2312"/>
          <w:b/>
          <w:bCs/>
          <w:sz w:val="32"/>
          <w:szCs w:val="32"/>
        </w:rPr>
        <w:t>支出方面，</w:t>
      </w:r>
      <w:r>
        <w:rPr>
          <w:rFonts w:hint="eastAsia" w:ascii="仿宋_GB2312" w:eastAsia="仿宋_GB2312"/>
          <w:sz w:val="32"/>
          <w:szCs w:val="32"/>
        </w:rPr>
        <w:t>于3月、8月预算调整分别调增一般公共预算支出2515万元、</w:t>
      </w:r>
      <w:r>
        <w:rPr>
          <w:rFonts w:hint="eastAsia" w:ascii="仿宋_GB2312" w:hAnsi="仿宋" w:eastAsia="仿宋_GB2312" w:cs="仿宋_GB2312"/>
          <w:sz w:val="32"/>
          <w:szCs w:val="32"/>
        </w:rPr>
        <w:t>5136</w:t>
      </w:r>
      <w:r>
        <w:rPr>
          <w:rFonts w:hint="eastAsia" w:ascii="仿宋_GB2312" w:eastAsia="仿宋_GB2312"/>
          <w:sz w:val="32"/>
          <w:szCs w:val="32"/>
        </w:rPr>
        <w:t>万元，主要用于一般债券对应的支出；11月预算调整</w:t>
      </w:r>
      <w:r>
        <w:rPr>
          <w:rFonts w:hint="eastAsia" w:eastAsia="仿宋_GB2312" w:cs="Times New Roman"/>
          <w:sz w:val="32"/>
          <w:szCs w:val="32"/>
        </w:rPr>
        <w:t>调减一般公共预算支出5331万元，其中：调减一般公共服务支出2213万元；调减社会保障和就业支出368万元；调减卫生健康支出163万元；调减城乡社区支出2587万元。11月预算调整调增上解支出15067万元。</w:t>
      </w:r>
    </w:p>
    <w:p w14:paraId="4810556E">
      <w:pPr>
        <w:overflowPunct w:val="0"/>
        <w:spacing w:line="554" w:lineRule="exact"/>
        <w:ind w:firstLine="643" w:firstLineChars="200"/>
        <w:rPr>
          <w:rFonts w:eastAsia="仿宋_GB2312" w:cs="Times New Roman"/>
          <w:b/>
          <w:bCs/>
          <w:sz w:val="32"/>
          <w:szCs w:val="32"/>
        </w:rPr>
      </w:pPr>
      <w:r>
        <w:rPr>
          <w:rFonts w:hint="eastAsia" w:eastAsia="仿宋_GB2312" w:cs="Times New Roman"/>
          <w:b/>
          <w:bCs/>
          <w:sz w:val="32"/>
          <w:szCs w:val="32"/>
        </w:rPr>
        <w:t>2.政府性基金预算调整</w:t>
      </w:r>
    </w:p>
    <w:p w14:paraId="1F5A9F4C">
      <w:pPr>
        <w:overflowPunct w:val="0"/>
        <w:spacing w:line="554" w:lineRule="exact"/>
        <w:ind w:firstLine="643" w:firstLineChars="200"/>
        <w:rPr>
          <w:rFonts w:eastAsia="仿宋_GB2312" w:cs="Times New Roman"/>
          <w:color w:val="000000"/>
          <w:sz w:val="32"/>
          <w:szCs w:val="32"/>
        </w:rPr>
      </w:pPr>
      <w:r>
        <w:rPr>
          <w:rFonts w:eastAsia="仿宋_GB2312" w:cs="Times New Roman"/>
          <w:b/>
          <w:bCs/>
          <w:color w:val="000000"/>
          <w:sz w:val="32"/>
          <w:szCs w:val="32"/>
        </w:rPr>
        <w:t>收入方面</w:t>
      </w:r>
      <w:r>
        <w:rPr>
          <w:rFonts w:hint="eastAsia" w:eastAsia="仿宋_GB2312" w:cs="Times New Roman"/>
          <w:b/>
          <w:bCs/>
          <w:color w:val="000000"/>
          <w:sz w:val="32"/>
          <w:szCs w:val="32"/>
        </w:rPr>
        <w:t>，</w:t>
      </w:r>
      <w:r>
        <w:rPr>
          <w:rFonts w:hint="eastAsia" w:eastAsia="仿宋_GB2312" w:cs="Times New Roman"/>
          <w:color w:val="000000"/>
          <w:sz w:val="32"/>
          <w:szCs w:val="32"/>
        </w:rPr>
        <w:t>于3月、6月和8月预算调整分别</w:t>
      </w:r>
      <w:r>
        <w:rPr>
          <w:rFonts w:hint="eastAsia" w:ascii="仿宋_GB2312" w:eastAsia="仿宋_GB2312"/>
          <w:sz w:val="32"/>
          <w:szCs w:val="32"/>
        </w:rPr>
        <w:t>增加地方政府专项债务转贷收入15155万元、45300万元和</w:t>
      </w:r>
      <w:r>
        <w:rPr>
          <w:rFonts w:hint="eastAsia" w:ascii="仿宋_GB2312" w:hAnsi="仿宋" w:eastAsia="仿宋_GB2312" w:cs="仿宋_GB2312"/>
          <w:sz w:val="32"/>
          <w:szCs w:val="32"/>
        </w:rPr>
        <w:t>22026</w:t>
      </w:r>
      <w:r>
        <w:rPr>
          <w:rFonts w:hint="eastAsia" w:ascii="仿宋_GB2312" w:eastAsia="仿宋_GB2312"/>
          <w:sz w:val="32"/>
          <w:szCs w:val="32"/>
        </w:rPr>
        <w:t>万元</w:t>
      </w:r>
      <w:r>
        <w:rPr>
          <w:rFonts w:hint="eastAsia" w:eastAsia="仿宋_GB2312" w:cs="Times New Roman"/>
          <w:color w:val="000000"/>
          <w:sz w:val="32"/>
          <w:szCs w:val="32"/>
        </w:rPr>
        <w:t>。</w:t>
      </w:r>
    </w:p>
    <w:p w14:paraId="7B072340">
      <w:pPr>
        <w:overflowPunct w:val="0"/>
        <w:spacing w:line="554" w:lineRule="exact"/>
        <w:ind w:firstLine="643" w:firstLineChars="200"/>
        <w:rPr>
          <w:rFonts w:ascii="仿宋_GB2312" w:eastAsia="仿宋_GB2312"/>
          <w:sz w:val="32"/>
          <w:szCs w:val="32"/>
        </w:rPr>
      </w:pPr>
      <w:r>
        <w:rPr>
          <w:rFonts w:eastAsia="仿宋_GB2312" w:cs="Times New Roman"/>
          <w:b/>
          <w:bCs/>
          <w:color w:val="000000"/>
          <w:sz w:val="32"/>
          <w:szCs w:val="32"/>
        </w:rPr>
        <w:t>支出方面</w:t>
      </w:r>
      <w:r>
        <w:rPr>
          <w:rFonts w:hint="eastAsia" w:eastAsia="仿宋_GB2312" w:cs="Times New Roman"/>
          <w:b/>
          <w:bCs/>
          <w:color w:val="000000"/>
          <w:sz w:val="32"/>
          <w:szCs w:val="32"/>
        </w:rPr>
        <w:t>，</w:t>
      </w:r>
      <w:r>
        <w:rPr>
          <w:rFonts w:hint="eastAsia" w:eastAsia="仿宋_GB2312" w:cs="Times New Roman"/>
          <w:color w:val="000000"/>
          <w:sz w:val="32"/>
          <w:szCs w:val="32"/>
        </w:rPr>
        <w:t>于3月、6月和8月预算调整分别调</w:t>
      </w:r>
      <w:r>
        <w:rPr>
          <w:rFonts w:hint="eastAsia" w:ascii="仿宋_GB2312" w:eastAsia="仿宋_GB2312"/>
          <w:sz w:val="32"/>
          <w:szCs w:val="32"/>
        </w:rPr>
        <w:t>增政府性基金预算支出15155万元、45300万元和</w:t>
      </w:r>
      <w:r>
        <w:rPr>
          <w:rFonts w:hint="eastAsia" w:ascii="仿宋_GB2312" w:hAnsi="仿宋" w:eastAsia="仿宋_GB2312" w:cs="仿宋_GB2312"/>
          <w:sz w:val="32"/>
          <w:szCs w:val="32"/>
        </w:rPr>
        <w:t>22026</w:t>
      </w:r>
      <w:r>
        <w:rPr>
          <w:rFonts w:hint="eastAsia" w:ascii="仿宋_GB2312" w:eastAsia="仿宋_GB2312"/>
          <w:sz w:val="32"/>
          <w:szCs w:val="32"/>
        </w:rPr>
        <w:t>万元，主要用于专项债券对应的支出。</w:t>
      </w:r>
    </w:p>
    <w:p w14:paraId="7F246784">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3.国有资本经营预算调整</w:t>
      </w:r>
    </w:p>
    <w:p w14:paraId="359AE3EC">
      <w:pPr>
        <w:overflowPunct w:val="0"/>
        <w:spacing w:line="554" w:lineRule="exact"/>
        <w:ind w:firstLine="640" w:firstLineChars="200"/>
        <w:rPr>
          <w:rFonts w:eastAsia="楷体_GB2312" w:cs="Times New Roman"/>
          <w:b/>
          <w:sz w:val="32"/>
          <w:szCs w:val="32"/>
        </w:rPr>
      </w:pPr>
      <w:r>
        <w:rPr>
          <w:rFonts w:hint="eastAsia" w:eastAsia="仿宋_GB2312" w:cs="Times New Roman"/>
          <w:color w:val="000000"/>
          <w:sz w:val="32"/>
          <w:szCs w:val="32"/>
        </w:rPr>
        <w:t>2025年预估上年国有资本经营预算结余1万元，2024年年终决算结余为0，故11月预算调整</w:t>
      </w:r>
      <w:r>
        <w:rPr>
          <w:rFonts w:eastAsia="仿宋_GB2312" w:cs="Times New Roman"/>
          <w:color w:val="000000"/>
          <w:sz w:val="32"/>
          <w:szCs w:val="32"/>
        </w:rPr>
        <w:t>年初预算上年结余1万元调整为</w:t>
      </w:r>
      <w:r>
        <w:rPr>
          <w:rFonts w:hint="eastAsia" w:eastAsia="仿宋_GB2312" w:cs="Times New Roman"/>
          <w:color w:val="000000"/>
          <w:sz w:val="32"/>
          <w:szCs w:val="32"/>
        </w:rPr>
        <w:t>零</w:t>
      </w:r>
      <w:r>
        <w:rPr>
          <w:rFonts w:eastAsia="仿宋_GB2312" w:cs="Times New Roman"/>
          <w:color w:val="000000"/>
          <w:sz w:val="32"/>
          <w:szCs w:val="32"/>
        </w:rPr>
        <w:t>，</w:t>
      </w:r>
      <w:r>
        <w:rPr>
          <w:rFonts w:hint="eastAsia" w:eastAsia="仿宋_GB2312" w:cs="Times New Roman"/>
          <w:color w:val="000000"/>
          <w:sz w:val="32"/>
          <w:szCs w:val="32"/>
        </w:rPr>
        <w:t>相应</w:t>
      </w:r>
      <w:r>
        <w:rPr>
          <w:rFonts w:eastAsia="仿宋_GB2312" w:cs="Times New Roman"/>
          <w:color w:val="000000"/>
          <w:sz w:val="32"/>
          <w:szCs w:val="32"/>
        </w:rPr>
        <w:t>调整调出资金1万元为</w:t>
      </w:r>
      <w:r>
        <w:rPr>
          <w:rFonts w:hint="eastAsia" w:eastAsia="仿宋_GB2312" w:cs="Times New Roman"/>
          <w:color w:val="000000"/>
          <w:sz w:val="32"/>
          <w:szCs w:val="32"/>
        </w:rPr>
        <w:t>零</w:t>
      </w:r>
      <w:r>
        <w:rPr>
          <w:rFonts w:eastAsia="仿宋_GB2312" w:cs="Times New Roman"/>
          <w:color w:val="000000"/>
          <w:sz w:val="32"/>
          <w:szCs w:val="32"/>
        </w:rPr>
        <w:t>。</w:t>
      </w:r>
    </w:p>
    <w:p w14:paraId="224FFFF3">
      <w:pPr>
        <w:pStyle w:val="26"/>
        <w:overflowPunct w:val="0"/>
        <w:spacing w:line="554" w:lineRule="exact"/>
        <w:ind w:firstLine="643"/>
        <w:rPr>
          <w:rFonts w:eastAsia="楷体_GB2312" w:cs="Times New Roman"/>
          <w:b/>
          <w:sz w:val="32"/>
          <w:szCs w:val="32"/>
        </w:rPr>
      </w:pPr>
      <w:r>
        <w:rPr>
          <w:rFonts w:hint="eastAsia" w:eastAsia="楷体_GB2312" w:cs="Times New Roman"/>
          <w:b/>
          <w:sz w:val="32"/>
          <w:szCs w:val="32"/>
        </w:rPr>
        <w:t>（三）</w:t>
      </w:r>
      <w:r>
        <w:rPr>
          <w:rFonts w:eastAsia="楷体_GB2312" w:cs="Times New Roman"/>
          <w:b/>
          <w:sz w:val="32"/>
          <w:szCs w:val="32"/>
        </w:rPr>
        <w:t xml:space="preserve"> “三保”支出情况</w:t>
      </w:r>
    </w:p>
    <w:p w14:paraId="4AD33070">
      <w:pPr>
        <w:pStyle w:val="26"/>
        <w:overflowPunct w:val="0"/>
        <w:spacing w:line="554" w:lineRule="exact"/>
        <w:ind w:firstLine="640"/>
        <w:rPr>
          <w:rFonts w:eastAsia="楷体_GB2312" w:cs="Times New Roman"/>
          <w:b/>
          <w:sz w:val="32"/>
          <w:szCs w:val="32"/>
        </w:rPr>
      </w:pPr>
      <w:r>
        <w:rPr>
          <w:rFonts w:eastAsia="仿宋_GB2312" w:cs="Times New Roman"/>
          <w:sz w:val="32"/>
          <w:szCs w:val="40"/>
        </w:rPr>
        <w:t>202</w:t>
      </w:r>
      <w:r>
        <w:rPr>
          <w:rFonts w:hint="eastAsia" w:eastAsia="仿宋_GB2312" w:cs="Times New Roman"/>
          <w:sz w:val="32"/>
          <w:szCs w:val="40"/>
        </w:rPr>
        <w:t>5</w:t>
      </w:r>
      <w:r>
        <w:rPr>
          <w:rFonts w:eastAsia="仿宋_GB2312" w:cs="Times New Roman"/>
          <w:sz w:val="32"/>
          <w:szCs w:val="40"/>
        </w:rPr>
        <w:t>年年初预算按要求编实“三保”预算，年初“三保”预算资金安排</w:t>
      </w:r>
      <w:r>
        <w:rPr>
          <w:rFonts w:hint="eastAsia" w:eastAsia="仿宋_GB2312" w:cs="Times New Roman"/>
          <w:sz w:val="32"/>
          <w:szCs w:val="40"/>
        </w:rPr>
        <w:t>114506</w:t>
      </w:r>
      <w:r>
        <w:rPr>
          <w:rFonts w:eastAsia="仿宋_GB2312" w:cs="Times New Roman"/>
          <w:sz w:val="32"/>
          <w:szCs w:val="40"/>
        </w:rPr>
        <w:t>万元，全年“三保”支出</w:t>
      </w:r>
      <w:r>
        <w:rPr>
          <w:rFonts w:hint="eastAsia" w:eastAsia="仿宋_GB2312" w:cs="Times New Roman"/>
          <w:sz w:val="32"/>
          <w:szCs w:val="40"/>
        </w:rPr>
        <w:t>113938</w:t>
      </w:r>
      <w:r>
        <w:rPr>
          <w:rFonts w:eastAsia="仿宋_GB2312" w:cs="Times New Roman"/>
          <w:sz w:val="32"/>
          <w:szCs w:val="40"/>
        </w:rPr>
        <w:t>万元，其中：保基本民生支出</w:t>
      </w:r>
      <w:r>
        <w:rPr>
          <w:rFonts w:hint="eastAsia" w:eastAsia="仿宋_GB2312" w:cs="Times New Roman"/>
          <w:sz w:val="32"/>
          <w:szCs w:val="40"/>
        </w:rPr>
        <w:t>38769</w:t>
      </w:r>
      <w:r>
        <w:rPr>
          <w:rFonts w:eastAsia="仿宋_GB2312" w:cs="Times New Roman"/>
          <w:sz w:val="32"/>
          <w:szCs w:val="40"/>
        </w:rPr>
        <w:t>万元，保工资支出</w:t>
      </w:r>
      <w:r>
        <w:rPr>
          <w:rFonts w:hint="eastAsia" w:eastAsia="仿宋_GB2312" w:cs="Times New Roman"/>
          <w:sz w:val="32"/>
          <w:szCs w:val="40"/>
        </w:rPr>
        <w:t>73775</w:t>
      </w:r>
      <w:r>
        <w:rPr>
          <w:rFonts w:eastAsia="仿宋_GB2312" w:cs="Times New Roman"/>
          <w:sz w:val="32"/>
          <w:szCs w:val="40"/>
        </w:rPr>
        <w:t>万元，保运转支出</w:t>
      </w:r>
      <w:r>
        <w:rPr>
          <w:rFonts w:hint="eastAsia" w:eastAsia="仿宋_GB2312" w:cs="Times New Roman"/>
          <w:sz w:val="32"/>
          <w:szCs w:val="40"/>
        </w:rPr>
        <w:t>1394</w:t>
      </w:r>
      <w:r>
        <w:rPr>
          <w:rFonts w:eastAsia="仿宋_GB2312" w:cs="Times New Roman"/>
          <w:sz w:val="32"/>
          <w:szCs w:val="40"/>
        </w:rPr>
        <w:t>万元。</w:t>
      </w:r>
    </w:p>
    <w:p w14:paraId="19F6CBE0">
      <w:pPr>
        <w:overflowPunct w:val="0"/>
        <w:spacing w:line="554" w:lineRule="exact"/>
        <w:ind w:firstLine="643" w:firstLineChars="200"/>
        <w:rPr>
          <w:rFonts w:eastAsia="楷体_GB2312" w:cs="Times New Roman"/>
          <w:b/>
          <w:sz w:val="32"/>
          <w:szCs w:val="32"/>
        </w:rPr>
      </w:pPr>
      <w:r>
        <w:rPr>
          <w:rFonts w:hint="eastAsia" w:eastAsia="楷体_GB2312" w:cs="Times New Roman"/>
          <w:b/>
          <w:sz w:val="32"/>
          <w:szCs w:val="32"/>
        </w:rPr>
        <w:t>（四）</w:t>
      </w:r>
      <w:r>
        <w:rPr>
          <w:rFonts w:eastAsia="楷体_GB2312" w:cs="Times New Roman"/>
          <w:b/>
          <w:sz w:val="32"/>
          <w:szCs w:val="32"/>
        </w:rPr>
        <w:t>“三公”经费决算情况</w:t>
      </w:r>
    </w:p>
    <w:p w14:paraId="6372C2E0">
      <w:pPr>
        <w:overflowPunct w:val="0"/>
        <w:spacing w:line="554" w:lineRule="exact"/>
        <w:ind w:firstLine="640" w:firstLineChars="200"/>
        <w:rPr>
          <w:rFonts w:eastAsia="楷体_GB2312" w:cs="Times New Roman"/>
          <w:bCs/>
          <w:sz w:val="32"/>
          <w:szCs w:val="32"/>
        </w:rPr>
      </w:pPr>
      <w:r>
        <w:rPr>
          <w:rFonts w:hint="eastAsia" w:eastAsia="仿宋_GB2312" w:cs="Times New Roman"/>
          <w:color w:val="000000"/>
          <w:sz w:val="32"/>
          <w:szCs w:val="32"/>
          <w:lang w:val="zh-CN"/>
        </w:rPr>
        <w:t>2025年度一般公共预算拨款安排的</w:t>
      </w:r>
      <w:r>
        <w:rPr>
          <w:rFonts w:eastAsia="仿宋_GB2312" w:cs="Times New Roman"/>
          <w:color w:val="000000"/>
          <w:sz w:val="32"/>
          <w:szCs w:val="32"/>
          <w:lang w:val="zh-CN"/>
        </w:rPr>
        <w:t>“</w:t>
      </w:r>
      <w:r>
        <w:rPr>
          <w:rFonts w:hint="eastAsia" w:eastAsia="仿宋_GB2312" w:cs="Times New Roman"/>
          <w:color w:val="000000"/>
          <w:sz w:val="32"/>
          <w:szCs w:val="32"/>
          <w:lang w:val="zh-CN"/>
        </w:rPr>
        <w:t>三公</w:t>
      </w:r>
      <w:r>
        <w:rPr>
          <w:rFonts w:eastAsia="仿宋_GB2312" w:cs="Times New Roman"/>
          <w:color w:val="000000"/>
          <w:sz w:val="32"/>
          <w:szCs w:val="32"/>
          <w:lang w:val="zh-CN"/>
        </w:rPr>
        <w:t>”</w:t>
      </w:r>
      <w:r>
        <w:rPr>
          <w:rFonts w:hint="eastAsia" w:eastAsia="仿宋_GB2312" w:cs="Times New Roman"/>
          <w:color w:val="000000"/>
          <w:sz w:val="32"/>
          <w:szCs w:val="32"/>
          <w:lang w:val="zh-CN"/>
        </w:rPr>
        <w:t>支出数为15</w:t>
      </w:r>
      <w:r>
        <w:rPr>
          <w:rFonts w:hint="eastAsia" w:eastAsia="仿宋_GB2312" w:cs="Times New Roman"/>
          <w:color w:val="000000"/>
          <w:sz w:val="32"/>
          <w:szCs w:val="32"/>
        </w:rPr>
        <w:t>8</w:t>
      </w:r>
      <w:r>
        <w:rPr>
          <w:rFonts w:hint="eastAsia" w:eastAsia="仿宋_GB2312" w:cs="Times New Roman"/>
          <w:color w:val="000000"/>
          <w:sz w:val="32"/>
          <w:szCs w:val="32"/>
          <w:lang w:val="zh-CN"/>
        </w:rPr>
        <w:t>万元，比年初预算的375万元减少217万元,下降57.9%。其中：因公出国（境）经费支出数13万元，比年初预算减少3</w:t>
      </w:r>
      <w:r>
        <w:rPr>
          <w:rFonts w:hint="eastAsia" w:eastAsia="仿宋_GB2312" w:cs="Times New Roman"/>
          <w:color w:val="000000"/>
          <w:sz w:val="32"/>
          <w:szCs w:val="32"/>
        </w:rPr>
        <w:t>7</w:t>
      </w:r>
      <w:r>
        <w:rPr>
          <w:rFonts w:hint="eastAsia" w:eastAsia="仿宋_GB2312" w:cs="Times New Roman"/>
          <w:color w:val="000000"/>
          <w:sz w:val="32"/>
          <w:szCs w:val="32"/>
          <w:lang w:val="zh-CN"/>
        </w:rPr>
        <w:t>万元，下降7</w:t>
      </w:r>
      <w:r>
        <w:rPr>
          <w:rFonts w:hint="eastAsia" w:eastAsia="仿宋_GB2312" w:cs="Times New Roman"/>
          <w:color w:val="000000"/>
          <w:sz w:val="32"/>
          <w:szCs w:val="32"/>
        </w:rPr>
        <w:t>4</w:t>
      </w:r>
      <w:r>
        <w:rPr>
          <w:rFonts w:hint="eastAsia" w:eastAsia="仿宋_GB2312" w:cs="Times New Roman"/>
          <w:color w:val="000000"/>
          <w:sz w:val="32"/>
          <w:szCs w:val="32"/>
          <w:lang w:val="zh-CN"/>
        </w:rPr>
        <w:t>%；公务接待费支出数38万元，比年初预算减少1</w:t>
      </w:r>
      <w:r>
        <w:rPr>
          <w:rFonts w:hint="eastAsia" w:eastAsia="仿宋_GB2312" w:cs="Times New Roman"/>
          <w:color w:val="000000"/>
          <w:sz w:val="32"/>
          <w:szCs w:val="32"/>
        </w:rPr>
        <w:t>2</w:t>
      </w:r>
      <w:r>
        <w:rPr>
          <w:rFonts w:hint="eastAsia" w:eastAsia="仿宋_GB2312" w:cs="Times New Roman"/>
          <w:color w:val="000000"/>
          <w:sz w:val="32"/>
          <w:szCs w:val="32"/>
          <w:lang w:val="zh-CN"/>
        </w:rPr>
        <w:t>万元，下降2</w:t>
      </w:r>
      <w:r>
        <w:rPr>
          <w:rFonts w:hint="eastAsia" w:eastAsia="仿宋_GB2312" w:cs="Times New Roman"/>
          <w:color w:val="000000"/>
          <w:sz w:val="32"/>
          <w:szCs w:val="32"/>
        </w:rPr>
        <w:t>4</w:t>
      </w:r>
      <w:r>
        <w:rPr>
          <w:rFonts w:hint="eastAsia" w:eastAsia="仿宋_GB2312" w:cs="Times New Roman"/>
          <w:color w:val="000000"/>
          <w:sz w:val="32"/>
          <w:szCs w:val="32"/>
          <w:lang w:val="zh-CN"/>
        </w:rPr>
        <w:t>%；公务用车购置及运行费支出数106万元，比年初预算减少16</w:t>
      </w:r>
      <w:r>
        <w:rPr>
          <w:rFonts w:hint="eastAsia" w:eastAsia="仿宋_GB2312" w:cs="Times New Roman"/>
          <w:color w:val="000000"/>
          <w:sz w:val="32"/>
          <w:szCs w:val="32"/>
        </w:rPr>
        <w:t>9</w:t>
      </w:r>
      <w:r>
        <w:rPr>
          <w:rFonts w:hint="eastAsia" w:eastAsia="仿宋_GB2312" w:cs="Times New Roman"/>
          <w:color w:val="000000"/>
          <w:sz w:val="32"/>
          <w:szCs w:val="32"/>
          <w:lang w:val="zh-CN"/>
        </w:rPr>
        <w:t>万元，下降61.</w:t>
      </w:r>
      <w:r>
        <w:rPr>
          <w:rFonts w:hint="eastAsia" w:eastAsia="仿宋_GB2312" w:cs="Times New Roman"/>
          <w:color w:val="000000"/>
          <w:sz w:val="32"/>
          <w:szCs w:val="32"/>
        </w:rPr>
        <w:t>5</w:t>
      </w:r>
      <w:r>
        <w:rPr>
          <w:rFonts w:hint="eastAsia" w:eastAsia="仿宋_GB2312" w:cs="Times New Roman"/>
          <w:color w:val="000000"/>
          <w:sz w:val="32"/>
          <w:szCs w:val="32"/>
          <w:lang w:val="zh-CN"/>
        </w:rPr>
        <w:t>%。其中：公务用车购置支出0万元；公务用车运行费支出数106</w:t>
      </w:r>
      <w:r>
        <w:rPr>
          <w:rFonts w:hint="eastAsia" w:eastAsia="仿宋_GB2312" w:cs="Times New Roman"/>
          <w:color w:val="000000"/>
          <w:sz w:val="32"/>
          <w:szCs w:val="32"/>
        </w:rPr>
        <w:t>万元。</w:t>
      </w:r>
    </w:p>
    <w:p w14:paraId="25F05766">
      <w:pPr>
        <w:numPr>
          <w:ilvl w:val="0"/>
          <w:numId w:val="2"/>
        </w:numPr>
        <w:overflowPunct w:val="0"/>
        <w:spacing w:line="554" w:lineRule="exact"/>
        <w:ind w:firstLine="643" w:firstLineChars="200"/>
        <w:rPr>
          <w:rFonts w:eastAsia="楷体_GB2312" w:cs="Times New Roman"/>
          <w:bCs/>
          <w:sz w:val="32"/>
          <w:szCs w:val="32"/>
        </w:rPr>
      </w:pPr>
      <w:r>
        <w:rPr>
          <w:rFonts w:eastAsia="楷体_GB2312" w:cs="Times New Roman"/>
          <w:b/>
          <w:sz w:val="32"/>
          <w:szCs w:val="32"/>
        </w:rPr>
        <w:t>调入资金及预备费使用情况</w:t>
      </w:r>
    </w:p>
    <w:p w14:paraId="5DF46CC2">
      <w:pPr>
        <w:overflowPunct w:val="0"/>
        <w:spacing w:line="554" w:lineRule="exact"/>
        <w:ind w:firstLine="640" w:firstLineChars="200"/>
        <w:rPr>
          <w:rFonts w:eastAsia="仿宋_GB2312" w:cs="Times New Roman"/>
          <w:color w:val="000000"/>
          <w:sz w:val="32"/>
          <w:szCs w:val="32"/>
          <w:lang w:val="zh-CN"/>
        </w:rPr>
      </w:pPr>
      <w:r>
        <w:rPr>
          <w:rFonts w:hint="eastAsia" w:eastAsia="仿宋_GB2312" w:cs="Times New Roman"/>
          <w:color w:val="000000"/>
          <w:sz w:val="32"/>
          <w:szCs w:val="32"/>
          <w:lang w:val="zh-CN"/>
        </w:rPr>
        <w:t>2025年度一般公共预算调入资金30402万元，其中：从政府性基金调入30000万元，从国有资本经营预算调入402万元。调入资金主要用于弥补一般公共预算支出缺口，主要用于：公安消防等垂直管理单位经费补助13858万元、编制外合同制教师经费7400万元、债务付息4600万元、扶持企业专项2500万元、山海协作对口帮扶资金1200万元、环境卫生保洁经费844万元。</w:t>
      </w:r>
    </w:p>
    <w:p w14:paraId="5D190BBF">
      <w:pPr>
        <w:overflowPunct w:val="0"/>
        <w:spacing w:line="554" w:lineRule="exact"/>
        <w:ind w:firstLine="640"/>
        <w:rPr>
          <w:rFonts w:eastAsia="仿宋_GB2312" w:cs="Times New Roman"/>
          <w:color w:val="000000"/>
          <w:sz w:val="32"/>
          <w:szCs w:val="32"/>
        </w:rPr>
      </w:pPr>
      <w:r>
        <w:rPr>
          <w:rFonts w:hint="eastAsia" w:eastAsia="仿宋_GB2312" w:cs="Times New Roman"/>
          <w:color w:val="000000"/>
          <w:sz w:val="32"/>
          <w:szCs w:val="32"/>
          <w:lang w:val="zh-CN"/>
        </w:rPr>
        <w:t>政府性基金预算调入20007万元，其中：从一般预算调入</w:t>
      </w:r>
      <w:r>
        <w:rPr>
          <w:rFonts w:hint="eastAsia" w:eastAsia="仿宋_GB2312" w:cs="Times New Roman"/>
          <w:color w:val="000000"/>
          <w:sz w:val="32"/>
          <w:szCs w:val="32"/>
        </w:rPr>
        <w:t>2018万元，从项目单位调入17989万元，用于专项债券还本付息付费。</w:t>
      </w:r>
    </w:p>
    <w:p w14:paraId="4AFA6F80">
      <w:pPr>
        <w:overflowPunct w:val="0"/>
        <w:spacing w:line="554" w:lineRule="exact"/>
        <w:ind w:firstLine="640"/>
        <w:rPr>
          <w:rFonts w:eastAsia="仿宋_GB2312"/>
          <w:color w:val="000000"/>
          <w:sz w:val="32"/>
          <w:szCs w:val="32"/>
        </w:rPr>
      </w:pPr>
      <w:r>
        <w:rPr>
          <w:rFonts w:hint="eastAsia" w:ascii="仿宋_GB2312" w:eastAsia="仿宋_GB2312"/>
          <w:color w:val="000000"/>
          <w:sz w:val="32"/>
          <w:szCs w:val="32"/>
        </w:rPr>
        <w:t>本年度动用预备费</w:t>
      </w:r>
      <w:r>
        <w:rPr>
          <w:rFonts w:hint="eastAsia" w:eastAsia="仿宋_GB2312"/>
          <w:color w:val="000000"/>
          <w:sz w:val="32"/>
          <w:szCs w:val="32"/>
        </w:rPr>
        <w:t>2758</w:t>
      </w:r>
      <w:r>
        <w:rPr>
          <w:rFonts w:hint="eastAsia" w:ascii="仿宋_GB2312" w:eastAsia="仿宋_GB2312"/>
          <w:color w:val="000000"/>
          <w:sz w:val="32"/>
          <w:szCs w:val="32"/>
        </w:rPr>
        <w:t>万元，主要用于：疫情防控经费</w:t>
      </w:r>
      <w:r>
        <w:rPr>
          <w:rFonts w:hint="eastAsia" w:eastAsia="仿宋_GB2312"/>
          <w:color w:val="000000"/>
          <w:sz w:val="32"/>
          <w:szCs w:val="32"/>
        </w:rPr>
        <w:t>1310</w:t>
      </w:r>
      <w:r>
        <w:rPr>
          <w:rFonts w:hint="eastAsia" w:ascii="仿宋_GB2312" w:eastAsia="仿宋_GB2312"/>
          <w:color w:val="000000"/>
          <w:sz w:val="32"/>
          <w:szCs w:val="32"/>
        </w:rPr>
        <w:t>万元、爱国卫生运动专项</w:t>
      </w:r>
      <w:r>
        <w:rPr>
          <w:rFonts w:hint="eastAsia" w:eastAsia="仿宋_GB2312"/>
          <w:color w:val="000000"/>
          <w:sz w:val="32"/>
          <w:szCs w:val="32"/>
        </w:rPr>
        <w:t>740</w:t>
      </w:r>
      <w:r>
        <w:rPr>
          <w:rFonts w:hint="eastAsia" w:ascii="仿宋_GB2312" w:eastAsia="仿宋_GB2312"/>
          <w:color w:val="000000"/>
          <w:sz w:val="32"/>
          <w:szCs w:val="32"/>
        </w:rPr>
        <w:t>万元、援疆援藏等支援经费</w:t>
      </w:r>
      <w:r>
        <w:rPr>
          <w:rFonts w:hint="eastAsia" w:eastAsia="仿宋_GB2312"/>
          <w:color w:val="000000"/>
          <w:sz w:val="32"/>
          <w:szCs w:val="32"/>
        </w:rPr>
        <w:t>590</w:t>
      </w:r>
      <w:r>
        <w:rPr>
          <w:rFonts w:hint="eastAsia" w:ascii="仿宋_GB2312" w:eastAsia="仿宋_GB2312"/>
          <w:color w:val="000000"/>
          <w:sz w:val="32"/>
          <w:szCs w:val="32"/>
        </w:rPr>
        <w:t>万元。</w:t>
      </w:r>
    </w:p>
    <w:p w14:paraId="213970E9">
      <w:pPr>
        <w:overflowPunct w:val="0"/>
        <w:spacing w:line="554" w:lineRule="exact"/>
        <w:ind w:firstLine="643" w:firstLineChars="200"/>
        <w:rPr>
          <w:rFonts w:eastAsia="仿宋_GB2312" w:cs="Times New Roman"/>
          <w:b/>
          <w:bCs/>
          <w:color w:val="000000"/>
          <w:kern w:val="0"/>
          <w:sz w:val="32"/>
          <w:szCs w:val="32"/>
        </w:rPr>
      </w:pPr>
      <w:r>
        <w:rPr>
          <w:rFonts w:hint="eastAsia" w:eastAsia="楷体_GB2312" w:cs="Times New Roman"/>
          <w:b/>
          <w:sz w:val="32"/>
          <w:szCs w:val="32"/>
        </w:rPr>
        <w:t>（六）</w:t>
      </w:r>
      <w:r>
        <w:rPr>
          <w:rFonts w:eastAsia="楷体_GB2312" w:cs="Times New Roman"/>
          <w:b/>
          <w:sz w:val="32"/>
          <w:szCs w:val="32"/>
        </w:rPr>
        <w:t>预算绩效管理及其成果运用情况</w:t>
      </w:r>
    </w:p>
    <w:p w14:paraId="400AE73C">
      <w:pPr>
        <w:overflowPunct w:val="0"/>
        <w:spacing w:line="554" w:lineRule="exact"/>
        <w:ind w:firstLine="643" w:firstLineChars="200"/>
        <w:rPr>
          <w:rFonts w:eastAsia="仿宋_GB2312" w:cs="Times New Roman"/>
          <w:color w:val="000000"/>
          <w:kern w:val="0"/>
          <w:sz w:val="32"/>
          <w:szCs w:val="32"/>
        </w:rPr>
      </w:pPr>
      <w:r>
        <w:rPr>
          <w:rFonts w:hint="eastAsia" w:ascii="楷体_GB2312" w:eastAsia="楷体_GB2312" w:cs="Times New Roman"/>
          <w:b/>
          <w:bCs/>
          <w:color w:val="000000"/>
          <w:kern w:val="0"/>
          <w:sz w:val="32"/>
          <w:szCs w:val="32"/>
        </w:rPr>
        <w:t>一是</w:t>
      </w:r>
      <w:r>
        <w:rPr>
          <w:rFonts w:hint="eastAsia" w:eastAsia="仿宋_GB2312" w:cs="Times New Roman"/>
          <w:color w:val="000000"/>
          <w:kern w:val="0"/>
          <w:sz w:val="32"/>
          <w:szCs w:val="32"/>
        </w:rPr>
        <w:t>健全绩效指标体系，夯实管理基础。修订完善丰泽区预算绩效共性指标框架，优化原有7个分行业分领域指标体系，新增水土保持、公益性水库维修养护等3个专项领域指标，助力财政资金提质增效。</w:t>
      </w:r>
      <w:r>
        <w:rPr>
          <w:rFonts w:hint="eastAsia" w:ascii="楷体_GB2312" w:eastAsia="楷体_GB2312" w:cs="Times New Roman"/>
          <w:b/>
          <w:bCs/>
          <w:color w:val="000000"/>
          <w:kern w:val="0"/>
          <w:sz w:val="32"/>
          <w:szCs w:val="32"/>
        </w:rPr>
        <w:t>二是</w:t>
      </w:r>
      <w:r>
        <w:rPr>
          <w:rFonts w:hint="eastAsia" w:eastAsia="仿宋_GB2312" w:cs="Times New Roman"/>
          <w:color w:val="000000"/>
          <w:kern w:val="0"/>
          <w:sz w:val="32"/>
          <w:szCs w:val="32"/>
        </w:rPr>
        <w:t>深化全流程绩效评价，提升评价质效。强化事前绩效评估，完成2个新增项目事前评估；聚焦重点领域，开展部门整体支出、政府购买服务等6项重点绩效评价，涉及财政资金27071万元，构建多维度重点评价格局。</w:t>
      </w:r>
      <w:r>
        <w:rPr>
          <w:rFonts w:hint="eastAsia" w:ascii="楷体_GB2312" w:eastAsia="楷体_GB2312" w:cs="Times New Roman"/>
          <w:b/>
          <w:bCs/>
          <w:color w:val="000000"/>
          <w:kern w:val="0"/>
          <w:sz w:val="32"/>
          <w:szCs w:val="32"/>
        </w:rPr>
        <w:t>三是</w:t>
      </w:r>
      <w:r>
        <w:rPr>
          <w:rFonts w:hint="eastAsia" w:eastAsia="仿宋_GB2312" w:cs="Times New Roman"/>
          <w:color w:val="000000"/>
          <w:kern w:val="0"/>
          <w:sz w:val="32"/>
          <w:szCs w:val="32"/>
        </w:rPr>
        <w:t>压实主体管理责任，扩大绩效覆盖。组织区直预算单位开展绩效自评，全覆盖“四本预算”1447个项目、涉及资金370082万元；同步推进部门评价，涉及资金90577万元，全面强化预算单位绩效管理主体意识。</w:t>
      </w:r>
      <w:r>
        <w:rPr>
          <w:rFonts w:hint="eastAsia" w:ascii="楷体_GB2312" w:eastAsia="楷体_GB2312" w:cs="Times New Roman"/>
          <w:b/>
          <w:bCs/>
          <w:color w:val="000000"/>
          <w:kern w:val="0"/>
          <w:sz w:val="32"/>
          <w:szCs w:val="32"/>
        </w:rPr>
        <w:t>四是</w:t>
      </w:r>
      <w:r>
        <w:rPr>
          <w:rFonts w:hint="eastAsia" w:eastAsia="仿宋_GB2312" w:cs="Times New Roman"/>
          <w:color w:val="000000"/>
          <w:kern w:val="0"/>
          <w:sz w:val="32"/>
          <w:szCs w:val="32"/>
        </w:rPr>
        <w:t>强化评价结果运用，补齐管理短板。依托1-8月绩效监控结果，及时纠偏运行偏差，调减回收未达进度项目资金634万元；健全绩效结果与预算安排挂钩机制，将2024年专项绩效自评成果，用于2026年度预算编制，强化绩效导向约束。</w:t>
      </w:r>
    </w:p>
    <w:p w14:paraId="766DD7C3">
      <w:pPr>
        <w:overflowPunct w:val="0"/>
        <w:spacing w:line="554" w:lineRule="exact"/>
        <w:ind w:firstLine="640" w:firstLineChars="200"/>
        <w:rPr>
          <w:rFonts w:eastAsia="黑体" w:cs="Times New Roman"/>
          <w:sz w:val="32"/>
          <w:szCs w:val="32"/>
        </w:rPr>
      </w:pPr>
      <w:r>
        <w:rPr>
          <w:rFonts w:hint="eastAsia" w:eastAsia="黑体" w:cs="Times New Roman"/>
          <w:sz w:val="32"/>
          <w:szCs w:val="32"/>
        </w:rPr>
        <w:t>三、</w:t>
      </w:r>
      <w:r>
        <w:rPr>
          <w:rFonts w:eastAsia="黑体" w:cs="Times New Roman"/>
          <w:sz w:val="32"/>
          <w:szCs w:val="32"/>
        </w:rPr>
        <w:t>落实区人大决议情况和 202</w:t>
      </w:r>
      <w:r>
        <w:rPr>
          <w:rFonts w:hint="eastAsia" w:eastAsia="黑体" w:cs="Times New Roman"/>
          <w:sz w:val="32"/>
          <w:szCs w:val="32"/>
        </w:rPr>
        <w:t>5</w:t>
      </w:r>
      <w:r>
        <w:rPr>
          <w:rFonts w:eastAsia="黑体" w:cs="Times New Roman"/>
          <w:sz w:val="32"/>
          <w:szCs w:val="32"/>
        </w:rPr>
        <w:t>年预算执行效果</w:t>
      </w:r>
    </w:p>
    <w:p w14:paraId="2539C739">
      <w:pPr>
        <w:overflowPunct w:val="0"/>
        <w:spacing w:line="554"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w:t>
      </w:r>
      <w:r>
        <w:rPr>
          <w:rFonts w:hint="eastAsia" w:eastAsia="楷体_GB2312" w:cs="Times New Roman"/>
          <w:b/>
          <w:sz w:val="32"/>
          <w:szCs w:val="32"/>
        </w:rPr>
        <w:t>一）“财”擎赋能实体经济，激活发展内生动力</w:t>
      </w:r>
    </w:p>
    <w:p w14:paraId="2DAF283B">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1.消费外贸发力，内需外需双向扩容。</w:t>
      </w:r>
      <w:r>
        <w:rPr>
          <w:rFonts w:eastAsia="仿宋_GB2312" w:cs="Times New Roman"/>
          <w:sz w:val="32"/>
          <w:szCs w:val="32"/>
        </w:rPr>
        <w:t>充分发挥财政资金撬动杠杆效应，统筹安排资金8092万元实施以旧换新补贴，配套投放百万级消费券，直接带动销售额突破2000万元；着力培育“簪花宴”特色IP、打造八大主题夜间经济市集、落地运营国际儿童时尚产业园，全面激活消费新兴增长极。构建三级外贸精准扶持体系，全年累计兑现外贸补助超2000万元，惠及150余家外贸企业，全力助力企业开拓市场、稳定订单，实现消费与外贸双向提质增效。纵深推进10大特色产业社区提级行动，落实中央法务区、数字经济产业园、人力资源产业园发展等重点平台财政扶持政策，积极争取市级政策赋能，为产业集聚发展、项目孵化培育筑牢财政支持。全年及时下达上级涉企扶持资金8267万元，足额兑现区级惠企资金3466万元，持续厚植区域经济发展活力。</w:t>
      </w:r>
    </w:p>
    <w:p w14:paraId="7E3C8706">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2.采购规范提效，营商环境迭代优化。</w:t>
      </w:r>
      <w:r>
        <w:rPr>
          <w:rFonts w:eastAsia="仿宋_GB2312" w:cs="Times New Roman"/>
          <w:sz w:val="32"/>
          <w:szCs w:val="32"/>
        </w:rPr>
        <w:t>健全小额工程项目政府采购内控管理体系，积极探索实施优化营商环境新举措，巩固提升政府采购营商环境各项核心指标；落实政府采购营商环境专项行动方案，推出“泉心泉意”便民利企特色举措，持续规范政府采购市场秩序,全面破除政府采购领域的隐形门槛和壁垒。进一步规范政府采购全流程行为，充分发挥政府采购扶持市场主体、稳定就业、助推发展的政策效能，不断激发市场主体内生活力，全力打造公开透明、公平高效的政府采购营商生态。</w:t>
      </w:r>
    </w:p>
    <w:p w14:paraId="1019E84F">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3.金融服务增效，融资支撑精准有力。</w:t>
      </w:r>
      <w:r>
        <w:rPr>
          <w:rFonts w:eastAsia="仿宋_GB2312" w:cs="Times New Roman"/>
          <w:sz w:val="32"/>
          <w:szCs w:val="32"/>
        </w:rPr>
        <w:t>打造全市首个中小微企业融资促进中心，累计登记企业融资需求251100万元，促成落地贷款115200万元；</w:t>
      </w:r>
      <w:r>
        <w:rPr>
          <w:rFonts w:eastAsia="仿宋_GB2312" w:cs="Times New Roman"/>
          <w:bCs/>
          <w:sz w:val="32"/>
          <w:szCs w:val="32"/>
        </w:rPr>
        <w:t>畅通金融机构供给“主动脉”与市场主体需求“毛细血管”，持续打通资金流向实体经济的精准通道，依托</w:t>
      </w:r>
      <w:r>
        <w:rPr>
          <w:rFonts w:eastAsia="仿宋_GB2312" w:cs="Times New Roman"/>
          <w:sz w:val="32"/>
          <w:szCs w:val="32"/>
        </w:rPr>
        <w:t>首贷拓展、续贷周转等综合金融服务，切实为市场主体纾困解难。健全小微企业常态化融资协调对接机制，走访企业4.68万家，整体授信规模达2710000万元，其中新增首贷户2826家、首贷金额310000万元，</w:t>
      </w:r>
      <w:r>
        <w:rPr>
          <w:rFonts w:eastAsia="仿宋_GB2312" w:cs="Times New Roman"/>
          <w:sz w:val="32"/>
          <w:szCs w:val="32"/>
          <w:shd w:val="clear" w:color="auto" w:fill="FFFFFF"/>
        </w:rPr>
        <w:t>从供需两端精准发力，有效破解小微企业融资难、银行放贷难的双向堵点</w:t>
      </w:r>
      <w:r>
        <w:rPr>
          <w:rFonts w:eastAsia="仿宋_GB2312" w:cs="Times New Roman"/>
          <w:sz w:val="32"/>
          <w:szCs w:val="32"/>
        </w:rPr>
        <w:t>。创新“伙伴金融”服务模式，搭建政府、金融机构、企业三方高效融资对接桥梁，联动27家金融机构提供定制化专属金融服务，发布特色金融产品汇编，畅通企业多元化融资渠道，持续激发市场主体发展活力。</w:t>
      </w:r>
    </w:p>
    <w:p w14:paraId="18CB1454">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4.资本赋能产业，基金生态日趋完善。</w:t>
      </w:r>
      <w:r>
        <w:rPr>
          <w:rFonts w:eastAsia="仿宋_GB2312" w:cs="Times New Roman"/>
          <w:sz w:val="32"/>
          <w:szCs w:val="32"/>
        </w:rPr>
        <w:t>深耕资本市场培育建设，助力辖区上市公司安通控股重整回归、焕发新生；</w:t>
      </w:r>
      <w:r>
        <w:rPr>
          <w:rFonts w:eastAsia="仿宋_GB2312" w:cs="Times New Roman"/>
          <w:sz w:val="32"/>
          <w:szCs w:val="40"/>
        </w:rPr>
        <w:t>系统搭建政府引导型基金全链条体系，构建覆盖天使投资、创业投资、产业投资的完整基金生态，全年</w:t>
      </w:r>
      <w:r>
        <w:rPr>
          <w:rFonts w:eastAsia="仿宋_GB2312" w:cs="Times New Roman"/>
          <w:sz w:val="32"/>
          <w:szCs w:val="32"/>
        </w:rPr>
        <w:t>新设基金规模4201万元；创新</w:t>
      </w:r>
      <w:r>
        <w:rPr>
          <w:rFonts w:eastAsia="仿宋_GB2312" w:cs="Times New Roman"/>
          <w:sz w:val="32"/>
          <w:szCs w:val="40"/>
        </w:rPr>
        <w:t>推行“基金+产业”市场化招商模式，依托基金的专业化研判和市场化投资能力精准挖掘优质潜力项目，2025年完成对宏芯科技等优质项目投资布局,助力宏芯科技研发自主知识产权硅光芯片实现硅光模块年产能跃升</w:t>
      </w:r>
      <w:bookmarkStart w:id="0" w:name="_GoBack"/>
      <w:bookmarkEnd w:id="0"/>
      <w:r>
        <w:rPr>
          <w:rFonts w:eastAsia="仿宋_GB2312" w:cs="Times New Roman"/>
          <w:sz w:val="32"/>
          <w:szCs w:val="40"/>
        </w:rPr>
        <w:t>。</w:t>
      </w:r>
      <w:r>
        <w:rPr>
          <w:rFonts w:eastAsia="仿宋_GB2312" w:cs="Times New Roman"/>
          <w:sz w:val="32"/>
          <w:szCs w:val="32"/>
        </w:rPr>
        <w:t>省级产融对接服务站正式落地运营，</w:t>
      </w:r>
      <w:r>
        <w:rPr>
          <w:rFonts w:eastAsia="仿宋_GB2312" w:cs="Times New Roman"/>
          <w:sz w:val="32"/>
          <w:szCs w:val="40"/>
        </w:rPr>
        <w:t>精准赋能产业转型升级与消费提质扩容，核心载体</w:t>
      </w:r>
      <w:r>
        <w:rPr>
          <w:rFonts w:eastAsia="仿宋_GB2312" w:cs="Times New Roman"/>
          <w:sz w:val="32"/>
          <w:szCs w:val="32"/>
        </w:rPr>
        <w:t>海丝基金小镇新增成效显著，全年新增备案基金及管理人42家、新增基金规模239000万元；持续打造“募集、投资、管理、退出”全闭环良性金融产业生态，全面推动金融资本与实体经济、重点产业深度耦合、双向赋能。</w:t>
      </w:r>
    </w:p>
    <w:p w14:paraId="2C89951C">
      <w:pPr>
        <w:overflowPunct w:val="0"/>
        <w:spacing w:line="554"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w:t>
      </w:r>
      <w:r>
        <w:rPr>
          <w:rFonts w:hint="eastAsia" w:eastAsia="楷体_GB2312" w:cs="Times New Roman"/>
          <w:b/>
          <w:sz w:val="32"/>
          <w:szCs w:val="32"/>
        </w:rPr>
        <w:t>二）“财”润民生固本兜底，提质公共服务效能</w:t>
      </w:r>
    </w:p>
    <w:p w14:paraId="20CFC8D5">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1.教育精准投入，办学条件持续改善。</w:t>
      </w:r>
      <w:r>
        <w:rPr>
          <w:rFonts w:eastAsia="仿宋_GB2312" w:cs="Times New Roman"/>
          <w:sz w:val="32"/>
          <w:szCs w:val="32"/>
        </w:rPr>
        <w:t>2025年教育支出</w:t>
      </w:r>
      <w:r>
        <w:rPr>
          <w:rFonts w:eastAsia="仿宋_GB2312" w:cs="Times New Roman"/>
          <w:bCs/>
          <w:sz w:val="32"/>
          <w:szCs w:val="32"/>
        </w:rPr>
        <w:t>102988万元</w:t>
      </w:r>
      <w:r>
        <w:rPr>
          <w:rFonts w:eastAsia="仿宋_GB2312" w:cs="Times New Roman"/>
          <w:b/>
          <w:bCs/>
          <w:sz w:val="32"/>
          <w:szCs w:val="32"/>
        </w:rPr>
        <w:t>，</w:t>
      </w:r>
      <w:r>
        <w:rPr>
          <w:rFonts w:eastAsia="仿宋_GB2312" w:cs="Times New Roman"/>
          <w:sz w:val="32"/>
          <w:szCs w:val="32"/>
        </w:rPr>
        <w:t>主要用于保障教育重点项目建设，2025年秋季鹤山小学扩建、培元中学北峰校区等6个区级项目顺利建成投用，新增优质学位9630个；同步推进泉州师院附小华大分校等3个市直配套项目建设。</w:t>
      </w:r>
      <w:r>
        <w:rPr>
          <w:rFonts w:eastAsia="仿宋_GB2312" w:cs="Times New Roman"/>
          <w:kern w:val="0"/>
          <w:sz w:val="32"/>
          <w:szCs w:val="32"/>
        </w:rPr>
        <w:t>全年预算安排教育系统“为民办实事”项目990万，其中：持续对普惠性民办幼儿园生均补助490万元，新增重大民生票决项目“学校校舍修缮改造”500万元，</w:t>
      </w:r>
      <w:r>
        <w:rPr>
          <w:rFonts w:eastAsia="仿宋_GB2312" w:cs="Times New Roman"/>
          <w:sz w:val="32"/>
          <w:szCs w:val="32"/>
        </w:rPr>
        <w:t>完成19所学校校舍安全改造与校园环境品质提升，筑牢校园硬件安全保障根基。持续</w:t>
      </w:r>
      <w:r>
        <w:rPr>
          <w:rFonts w:eastAsia="仿宋_GB2312" w:cs="Times New Roman"/>
          <w:kern w:val="0"/>
          <w:sz w:val="32"/>
          <w:szCs w:val="32"/>
        </w:rPr>
        <w:t>深化师资补充机制改革，通过高校招聘、省考招录、专项选聘及公费师范生安置等多元渠道</w:t>
      </w:r>
      <w:r>
        <w:rPr>
          <w:rFonts w:eastAsia="仿宋_GB2312" w:cs="Times New Roman"/>
          <w:sz w:val="32"/>
          <w:szCs w:val="32"/>
        </w:rPr>
        <w:t>补充新教师192名，其中公办教师157名、教育集团教师35名，不断建强优质师资队伍，全面提升区域教育公共服务供给水平。</w:t>
      </w:r>
    </w:p>
    <w:p w14:paraId="2F692BD3">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2.就业政策落地，稳岗惠企稳固有力。</w:t>
      </w:r>
      <w:r>
        <w:rPr>
          <w:rFonts w:eastAsia="仿宋_GB2312" w:cs="Times New Roman"/>
          <w:sz w:val="32"/>
          <w:szCs w:val="32"/>
        </w:rPr>
        <w:t>全区社会保障和就业支出</w:t>
      </w:r>
      <w:r>
        <w:rPr>
          <w:rFonts w:eastAsia="仿宋_GB2312" w:cs="Times New Roman"/>
          <w:bCs/>
          <w:sz w:val="32"/>
          <w:szCs w:val="32"/>
        </w:rPr>
        <w:t>29767万元</w:t>
      </w:r>
      <w:r>
        <w:rPr>
          <w:rFonts w:eastAsia="仿宋_GB2312" w:cs="Times New Roman"/>
          <w:b/>
          <w:bCs/>
          <w:sz w:val="32"/>
          <w:szCs w:val="32"/>
        </w:rPr>
        <w:t>，</w:t>
      </w:r>
      <w:r>
        <w:rPr>
          <w:rFonts w:eastAsia="仿宋_GB2312" w:cs="Times New Roman"/>
          <w:kern w:val="0"/>
          <w:sz w:val="32"/>
          <w:szCs w:val="32"/>
        </w:rPr>
        <w:t>建立区就业促进和劳动保护工作机制，制定印发《2025年促进高质量充分就业专项行动工作方案》，</w:t>
      </w:r>
      <w:r>
        <w:rPr>
          <w:rFonts w:eastAsia="仿宋_GB2312" w:cs="Times New Roman"/>
          <w:sz w:val="32"/>
          <w:szCs w:val="32"/>
        </w:rPr>
        <w:t>积极落实稳岗稳工促就业各项部署，出台“稳岗招工引才促就业”十五条、“招才引才”十三条惠企政策，累计发放惠企惠民资金2100万元、创业补贴1500万元，为2万家企业减免失业保险费11225万元。持续强化就业兜底帮扶，提供失业登记服务6000余人次，推送岗位4000余条，发放失业保险待遇8246.85万元；大力开展职业技能与创业培训，完成补贴性培训5636人次，发放补贴555.585万元，全力筑牢、稳定全区就业发展大局。</w:t>
      </w:r>
    </w:p>
    <w:p w14:paraId="47DDCC8A">
      <w:pPr>
        <w:overflowPunct w:val="0"/>
        <w:spacing w:line="554" w:lineRule="exact"/>
        <w:rPr>
          <w:rFonts w:eastAsia="仿宋_GB2312" w:cs="Times New Roman"/>
          <w:sz w:val="32"/>
          <w:szCs w:val="32"/>
        </w:rPr>
      </w:pPr>
      <w:r>
        <w:rPr>
          <w:rFonts w:hint="eastAsia" w:ascii="仿宋" w:hAnsi="仿宋" w:eastAsia="仿宋" w:cs="仿宋"/>
          <w:b/>
          <w:bCs/>
          <w:sz w:val="32"/>
          <w:szCs w:val="32"/>
        </w:rPr>
        <w:t xml:space="preserve">    </w:t>
      </w:r>
      <w:r>
        <w:rPr>
          <w:rFonts w:hint="eastAsia" w:ascii="仿宋_GB2312" w:hAnsi="仿宋" w:eastAsia="仿宋_GB2312" w:cs="仿宋"/>
          <w:b/>
          <w:bCs/>
          <w:sz w:val="32"/>
          <w:szCs w:val="32"/>
        </w:rPr>
        <w:t>3.兜底保障精准，养老助残全面提效。</w:t>
      </w:r>
      <w:r>
        <w:rPr>
          <w:rFonts w:eastAsia="仿宋_GB2312" w:cs="Times New Roman"/>
          <w:sz w:val="32"/>
          <w:szCs w:val="32"/>
        </w:rPr>
        <w:t>足额发放低保、特困供养金980.2万元；高效开展临时救助743人次、发放救助金额191.2万元，春节和中秋节“两节”慰问资金30.21万元，切实筑牢困难群众基本生活保障防线。大力推进养老体系服务建设，投入180万元建设5所示范性长者食堂，有序开展社区养老服务试点工作；全面落实养老机构运营补贴与适老化改造补贴，同步扶持培育星级养老服务机构，持续擦亮养老服务民生品牌。足额发放残疾人两项补贴320.6万元，不断健全分层分类、长效稳定的困难群体关爱保障体系，切实提升特殊群体获得感、幸福感和安全感。</w:t>
      </w:r>
    </w:p>
    <w:p w14:paraId="571C89A2">
      <w:pPr>
        <w:overflowPunct w:val="0"/>
        <w:spacing w:line="554" w:lineRule="exact"/>
        <w:ind w:firstLine="643" w:firstLineChars="200"/>
        <w:rPr>
          <w:rFonts w:ascii="仿宋" w:hAnsi="仿宋" w:eastAsia="仿宋" w:cs="仿宋"/>
          <w:sz w:val="32"/>
          <w:szCs w:val="32"/>
        </w:rPr>
      </w:pPr>
      <w:r>
        <w:rPr>
          <w:rFonts w:hint="eastAsia" w:ascii="仿宋_GB2312" w:hAnsi="仿宋" w:eastAsia="仿宋_GB2312" w:cs="仿宋"/>
          <w:b/>
          <w:bCs/>
          <w:sz w:val="32"/>
          <w:szCs w:val="32"/>
        </w:rPr>
        <w:t>4.守护妇儿安康，基层公卫提档升级。</w:t>
      </w:r>
      <w:r>
        <w:rPr>
          <w:rFonts w:eastAsia="仿宋_GB2312" w:cs="Times New Roman"/>
          <w:sz w:val="32"/>
          <w:szCs w:val="32"/>
        </w:rPr>
        <w:t>全年卫生健康支出</w:t>
      </w:r>
      <w:r>
        <w:rPr>
          <w:rFonts w:eastAsia="仿宋_GB2312" w:cs="Times New Roman"/>
          <w:bCs/>
          <w:sz w:val="32"/>
          <w:szCs w:val="32"/>
        </w:rPr>
        <w:t>32166万元</w:t>
      </w:r>
      <w:r>
        <w:rPr>
          <w:rFonts w:eastAsia="仿宋_GB2312" w:cs="Times New Roman"/>
          <w:b/>
          <w:bCs/>
          <w:sz w:val="32"/>
          <w:szCs w:val="32"/>
        </w:rPr>
        <w:t>，</w:t>
      </w:r>
      <w:r>
        <w:rPr>
          <w:rFonts w:eastAsia="仿宋_GB2312" w:cs="Times New Roman"/>
          <w:sz w:val="32"/>
          <w:szCs w:val="32"/>
        </w:rPr>
        <w:t>深入推进妇幼健康惠民服务行动，免费提供妇女“两癌”筛查超万人次，为适龄妇女免费接种HPV疫苗4455人次，完成0-6岁儿童孤独症筛查干预服务31543人次，全方位筑牢妇女儿童身心健康安全屏障。北峰街道社区卫生服务中心综合大楼于2025年6月建成投用，临海街道社区卫生服务中心综合大楼2025年12月下旬正式开诊，华大南埔山医养结合项目顺利开工建设，提速推进公共卫生服务能力提升工程建设。随着一批重点医疗卫生民生项目相继落地投用，辖区基层医疗卫生硬件设施面貌得到显著改善，公共卫生服务供给水平全面提档升级。</w:t>
      </w:r>
    </w:p>
    <w:p w14:paraId="20B5B562">
      <w:pPr>
        <w:overflowPunct w:val="0"/>
        <w:spacing w:line="554" w:lineRule="exact"/>
        <w:ind w:firstLine="643" w:firstLineChars="200"/>
        <w:rPr>
          <w:rFonts w:ascii="仿宋" w:hAnsi="仿宋" w:eastAsia="仿宋" w:cs="仿宋"/>
          <w:b/>
          <w:bCs/>
          <w:sz w:val="32"/>
          <w:szCs w:val="32"/>
        </w:rPr>
      </w:pPr>
      <w:r>
        <w:rPr>
          <w:rFonts w:hint="eastAsia" w:eastAsia="楷体_GB2312" w:cs="Times New Roman"/>
          <w:b/>
          <w:sz w:val="32"/>
          <w:szCs w:val="32"/>
        </w:rPr>
        <w:t>（三）“财”助国企提质增效，精筑城市功能品质</w:t>
      </w:r>
    </w:p>
    <w:p w14:paraId="1DB3D9EB">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1.国资实力增强，城市运营高效赋能。</w:t>
      </w:r>
      <w:r>
        <w:rPr>
          <w:rFonts w:eastAsia="仿宋_GB2312" w:cs="Times New Roman"/>
          <w:sz w:val="32"/>
          <w:szCs w:val="32"/>
        </w:rPr>
        <w:t>区属两大集团资产总额预计2435200万元，同比增长19.05%。城建集团聚焦城市运营，推进</w:t>
      </w:r>
      <w:r>
        <w:rPr>
          <w:rFonts w:eastAsia="仿宋_GB2312" w:cs="Times New Roman"/>
          <w:sz w:val="30"/>
          <w:szCs w:val="30"/>
        </w:rPr>
        <w:t>建筑服务产业园、数字经济产业园等专业园区建设与运营</w:t>
      </w:r>
      <w:r>
        <w:rPr>
          <w:rFonts w:eastAsia="仿宋_GB2312" w:cs="Times New Roman"/>
          <w:sz w:val="32"/>
        </w:rPr>
        <w:t>，持续提升城市综合服务功能</w:t>
      </w:r>
      <w:r>
        <w:rPr>
          <w:rFonts w:eastAsia="仿宋_GB2312" w:cs="Times New Roman"/>
          <w:sz w:val="32"/>
          <w:szCs w:val="32"/>
        </w:rPr>
        <w:t>，2025年智慧停车新增车位2387个、充电桩5608个；聚焦数字经济板块，权属企业泊丰停车场服务有限公司成功完成丰泽区首例数据资产入表工作，“丰泽智慧停车数据分析报告”数据产品在福建大数据交易所挂牌并取得挂牌证书。国投集团发力文旅经济，投入3100万元提升</w:t>
      </w:r>
      <w:r>
        <w:rPr>
          <w:rFonts w:eastAsia="宋体" w:cs="Times New Roman"/>
          <w:sz w:val="32"/>
          <w:szCs w:val="32"/>
        </w:rPr>
        <w:t>蟳</w:t>
      </w:r>
      <w:r>
        <w:rPr>
          <w:rFonts w:eastAsia="仿宋_GB2312" w:cs="Times New Roman"/>
          <w:sz w:val="32"/>
          <w:szCs w:val="32"/>
        </w:rPr>
        <w:t>埔民俗村，累计收储优质空间3.5万</w:t>
      </w:r>
      <w:r>
        <w:rPr>
          <w:rFonts w:ascii="Segoe UI Symbol" w:hAnsi="Segoe UI Symbol" w:eastAsia="仿宋_GB2312" w:cs="Segoe UI Symbol"/>
          <w:sz w:val="32"/>
          <w:szCs w:val="32"/>
        </w:rPr>
        <w:t>㎡</w:t>
      </w:r>
      <w:r>
        <w:rPr>
          <w:rFonts w:hint="eastAsia" w:ascii="仿宋_GB2312" w:hAnsi="仿宋_GB2312" w:eastAsia="仿宋_GB2312" w:cs="仿宋_GB2312"/>
          <w:sz w:val="32"/>
          <w:szCs w:val="32"/>
        </w:rPr>
        <w:t>，完成</w:t>
      </w:r>
      <w:r>
        <w:rPr>
          <w:rFonts w:eastAsia="仿宋_GB2312" w:cs="Times New Roman"/>
          <w:sz w:val="32"/>
          <w:szCs w:val="32"/>
        </w:rPr>
        <w:t>3.35万</w:t>
      </w:r>
      <w:r>
        <w:rPr>
          <w:rFonts w:ascii="Segoe UI Symbol" w:hAnsi="Segoe UI Symbol" w:eastAsia="仿宋_GB2312" w:cs="Segoe UI Symbol"/>
          <w:sz w:val="32"/>
          <w:szCs w:val="32"/>
        </w:rPr>
        <w:t>㎡</w:t>
      </w:r>
      <w:r>
        <w:rPr>
          <w:rFonts w:hint="eastAsia" w:ascii="仿宋_GB2312" w:hAnsi="仿宋_GB2312" w:eastAsia="仿宋_GB2312" w:cs="仿宋_GB2312"/>
          <w:sz w:val="32"/>
          <w:szCs w:val="32"/>
        </w:rPr>
        <w:t>招商，</w:t>
      </w:r>
      <w:r>
        <w:rPr>
          <w:rFonts w:eastAsia="仿宋_GB2312" w:cs="Times New Roman"/>
          <w:sz w:val="32"/>
        </w:rPr>
        <w:t>建成“泽里有戏”非遗剧场、簪花世界、浔海乐游等项目，</w:t>
      </w:r>
      <w:r>
        <w:rPr>
          <w:rFonts w:eastAsia="仿宋_GB2312" w:cs="Times New Roman"/>
          <w:sz w:val="32"/>
          <w:szCs w:val="32"/>
        </w:rPr>
        <w:t>打造非遗文旅项目，当年接待游客超426万人次、带动消费8.6亿元，国企服务城市发展与产业培育效能显著提升。</w:t>
      </w:r>
    </w:p>
    <w:p w14:paraId="7B6BC3B9">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2.基建攻坚补短，城市面貌焕然一新。</w:t>
      </w:r>
      <w:r>
        <w:rPr>
          <w:rFonts w:eastAsia="仿宋_GB2312" w:cs="Times New Roman"/>
          <w:sz w:val="32"/>
          <w:szCs w:val="32"/>
        </w:rPr>
        <w:t>推动实施丰泽区污水提质增效项目6个，其中3个项目已完成施工，3个项目按时序推进，全年完成投资额约15900万元，新建改造污水管网约17.5千米；配合市水务集团，通过市区两级项目共同推进问题点位污水管网修复工作；将燃气管道老化评估中滚动产生的老旧管网和安全隐患纳入改造计划并完成实施，2025年更新改造老化燃气管道24.21公里；市区内沟河清淤疏浚项目完成八拦坝沟、秋中湖排洪渠等8条内沟河清理工作，城市基础设施与生态环境持续改善。</w:t>
      </w:r>
    </w:p>
    <w:p w14:paraId="070FC99B">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3.安居工程推进，居住品质不断优化。</w:t>
      </w:r>
      <w:r>
        <w:rPr>
          <w:rFonts w:eastAsia="仿宋_GB2312" w:cs="Times New Roman"/>
          <w:sz w:val="32"/>
          <w:szCs w:val="32"/>
        </w:rPr>
        <w:t>扎实推进保障性住房建设，我区落地2个保障性租赁住房项目，新增房源620套，建筑面积2.34万</w:t>
      </w:r>
      <w:r>
        <w:rPr>
          <w:rFonts w:ascii="Segoe UI Symbol" w:hAnsi="Segoe UI Symbol" w:eastAsia="仿宋_GB2312" w:cs="Segoe UI Symbol"/>
          <w:sz w:val="32"/>
          <w:szCs w:val="32"/>
        </w:rPr>
        <w:t>㎡</w:t>
      </w:r>
      <w:r>
        <w:rPr>
          <w:rFonts w:hint="eastAsia" w:ascii="仿宋_GB2312" w:hAnsi="仿宋_GB2312" w:eastAsia="仿宋_GB2312" w:cs="仿宋_GB2312"/>
          <w:sz w:val="32"/>
          <w:szCs w:val="32"/>
        </w:rPr>
        <w:t>，撬动总投资</w:t>
      </w:r>
      <w:r>
        <w:rPr>
          <w:rFonts w:eastAsia="仿宋_GB2312" w:cs="Times New Roman"/>
          <w:sz w:val="32"/>
          <w:szCs w:val="32"/>
        </w:rPr>
        <w:t>5860万元，民生住房兜底保障能力持续增强。启动老旧小区配套基础设施建设工程项目，惠及16个老旧小区，涉及楼栋115栋、3552户居民、总建筑面积50.54万平方米，开工率100%，完工率100%，累计完成投资约3259万元；同步攻坚历史遗留民生安全难题，全面完成76个2005年前建成的“双无”（消防栓无水、无缴纳公维金）小区消防专项整治，居住安全底线牢牢夯实。配套服务能级全面跃升，全区累计建成充电端口约11300个；抢抓国家专项政策机遇，将575部住宅老旧电梯纳入超长期特别国债支持清单，项目开工率100%，其中131部已竣工投用，居民出行便利度、生活幸福感显著提升。</w:t>
      </w:r>
    </w:p>
    <w:p w14:paraId="3F0B0231">
      <w:pPr>
        <w:overflowPunct w:val="0"/>
        <w:spacing w:line="554" w:lineRule="exact"/>
        <w:ind w:firstLine="640" w:firstLineChars="200"/>
        <w:rPr>
          <w:rFonts w:eastAsia="仿宋_GB2312" w:cs="Times New Roman"/>
          <w:sz w:val="32"/>
          <w:szCs w:val="32"/>
        </w:rPr>
      </w:pPr>
      <w:r>
        <w:rPr>
          <w:rFonts w:eastAsia="仿宋_GB2312" w:cs="Times New Roman"/>
          <w:sz w:val="32"/>
          <w:szCs w:val="32"/>
        </w:rPr>
        <w:t>2025年是“十四五”规划全面收官的决胜之年。回望“十四五”时期，全区财政运行总体平稳、重点领域保障坚实有力、财税体制改革成效亮点凸显，圆满完成了既定的目标任务。2026年，作为“十五五”规划谋篇开局的起步之年，我们将始终坚持稳中求进工作总基调，统筹盘活各类财政资源，持续优化财政支出结构，从严从紧压减一般性支出，全力兜牢民生改善、产业提质、城市更新等重点领域资金保障底线，不断提升财政精细化管理效能和资金使用综合效益，为奋力谱写全区经济社会高质量发展崭新篇章、开创现代化建设新局面提供坚强财政支撑。</w:t>
      </w:r>
    </w:p>
    <w:p w14:paraId="526CE434">
      <w:pPr>
        <w:overflowPunct w:val="0"/>
        <w:spacing w:line="554" w:lineRule="exact"/>
        <w:ind w:firstLine="640" w:firstLineChars="200"/>
        <w:rPr>
          <w:rFonts w:eastAsia="仿宋_GB2312" w:cs="Times New Roman"/>
          <w:sz w:val="32"/>
          <w:szCs w:val="32"/>
        </w:rPr>
      </w:pPr>
    </w:p>
    <w:p w14:paraId="421572D8">
      <w:pPr>
        <w:overflowPunct w:val="0"/>
        <w:spacing w:line="554" w:lineRule="exact"/>
        <w:ind w:firstLine="640" w:firstLineChars="200"/>
        <w:rPr>
          <w:rFonts w:eastAsia="仿宋_GB2312" w:cs="Times New Roman"/>
          <w:sz w:val="32"/>
          <w:szCs w:val="32"/>
        </w:rPr>
      </w:pPr>
      <w:r>
        <w:rPr>
          <w:rFonts w:eastAsia="仿宋_GB2312" w:cs="Times New Roman"/>
          <w:sz w:val="32"/>
          <w:szCs w:val="32"/>
        </w:rPr>
        <w:t>附件：1.202</w:t>
      </w:r>
      <w:r>
        <w:rPr>
          <w:rFonts w:hint="eastAsia" w:eastAsia="仿宋_GB2312" w:cs="Times New Roman"/>
          <w:sz w:val="32"/>
          <w:szCs w:val="32"/>
        </w:rPr>
        <w:t>5</w:t>
      </w:r>
      <w:r>
        <w:rPr>
          <w:rFonts w:eastAsia="仿宋_GB2312" w:cs="Times New Roman"/>
          <w:sz w:val="32"/>
          <w:szCs w:val="32"/>
        </w:rPr>
        <w:t>年度丰泽区一般公共预算收支决算总表</w:t>
      </w:r>
    </w:p>
    <w:p w14:paraId="2E7DA571">
      <w:pPr>
        <w:overflowPunct w:val="0"/>
        <w:spacing w:line="554" w:lineRule="exact"/>
        <w:ind w:firstLine="1632" w:firstLineChars="510"/>
        <w:rPr>
          <w:rFonts w:eastAsia="仿宋_GB2312" w:cs="Times New Roman"/>
          <w:spacing w:val="-20"/>
          <w:sz w:val="32"/>
          <w:szCs w:val="32"/>
        </w:rPr>
      </w:pPr>
      <w:r>
        <w:rPr>
          <w:rFonts w:eastAsia="仿宋_GB2312" w:cs="Times New Roman"/>
          <w:sz w:val="32"/>
          <w:szCs w:val="32"/>
        </w:rPr>
        <w:t>2.</w:t>
      </w:r>
      <w:r>
        <w:rPr>
          <w:rFonts w:eastAsia="仿宋_GB2312" w:cs="Times New Roman"/>
          <w:spacing w:val="-20"/>
          <w:sz w:val="32"/>
          <w:szCs w:val="32"/>
        </w:rPr>
        <w:t>202</w:t>
      </w:r>
      <w:r>
        <w:rPr>
          <w:rFonts w:hint="eastAsia" w:eastAsia="仿宋_GB2312" w:cs="Times New Roman"/>
          <w:spacing w:val="-20"/>
          <w:sz w:val="32"/>
          <w:szCs w:val="32"/>
        </w:rPr>
        <w:t>5</w:t>
      </w:r>
      <w:r>
        <w:rPr>
          <w:rFonts w:eastAsia="仿宋_GB2312" w:cs="Times New Roman"/>
          <w:spacing w:val="-20"/>
          <w:sz w:val="32"/>
          <w:szCs w:val="32"/>
        </w:rPr>
        <w:t>年度丰泽区一般公共预算支出决算功能分类明细表</w:t>
      </w:r>
    </w:p>
    <w:p w14:paraId="6C25DC0A">
      <w:pPr>
        <w:overflowPunct w:val="0"/>
        <w:spacing w:line="554" w:lineRule="exact"/>
        <w:ind w:firstLine="1632" w:firstLineChars="510"/>
        <w:rPr>
          <w:rFonts w:eastAsia="仿宋_GB2312" w:cs="Times New Roman"/>
          <w:spacing w:val="-6"/>
          <w:sz w:val="32"/>
          <w:szCs w:val="32"/>
        </w:rPr>
      </w:pPr>
      <w:r>
        <w:rPr>
          <w:rFonts w:eastAsia="仿宋_GB2312" w:cs="Times New Roman"/>
          <w:sz w:val="32"/>
          <w:szCs w:val="32"/>
        </w:rPr>
        <w:t>3.</w:t>
      </w:r>
      <w:r>
        <w:rPr>
          <w:rFonts w:eastAsia="仿宋_GB2312" w:cs="Times New Roman"/>
          <w:spacing w:val="-6"/>
          <w:sz w:val="32"/>
          <w:szCs w:val="32"/>
        </w:rPr>
        <w:t>202</w:t>
      </w:r>
      <w:r>
        <w:rPr>
          <w:rFonts w:hint="eastAsia" w:eastAsia="仿宋_GB2312" w:cs="Times New Roman"/>
          <w:spacing w:val="-6"/>
          <w:sz w:val="32"/>
          <w:szCs w:val="32"/>
        </w:rPr>
        <w:t>5</w:t>
      </w:r>
      <w:r>
        <w:rPr>
          <w:rFonts w:eastAsia="仿宋_GB2312" w:cs="Times New Roman"/>
          <w:spacing w:val="-6"/>
          <w:sz w:val="32"/>
          <w:szCs w:val="32"/>
        </w:rPr>
        <w:t>年度丰泽区一般公共预算支出经济分类决算表</w:t>
      </w:r>
    </w:p>
    <w:p w14:paraId="3BBA1260">
      <w:pPr>
        <w:overflowPunct w:val="0"/>
        <w:spacing w:line="554" w:lineRule="exact"/>
        <w:ind w:firstLine="1616" w:firstLineChars="505"/>
        <w:rPr>
          <w:rFonts w:eastAsia="仿宋_GB2312" w:cs="Times New Roman"/>
          <w:spacing w:val="-28"/>
          <w:sz w:val="32"/>
          <w:szCs w:val="32"/>
        </w:rPr>
      </w:pPr>
      <w:r>
        <w:rPr>
          <w:rFonts w:eastAsia="仿宋_GB2312" w:cs="Times New Roman"/>
          <w:sz w:val="32"/>
          <w:szCs w:val="32"/>
        </w:rPr>
        <w:t>4.</w:t>
      </w:r>
      <w:r>
        <w:rPr>
          <w:rFonts w:eastAsia="仿宋_GB2312" w:cs="Times New Roman"/>
          <w:spacing w:val="-28"/>
          <w:sz w:val="32"/>
          <w:szCs w:val="32"/>
        </w:rPr>
        <w:t>202</w:t>
      </w:r>
      <w:r>
        <w:rPr>
          <w:rFonts w:hint="eastAsia" w:eastAsia="仿宋_GB2312" w:cs="Times New Roman"/>
          <w:spacing w:val="-28"/>
          <w:sz w:val="32"/>
          <w:szCs w:val="32"/>
        </w:rPr>
        <w:t>5</w:t>
      </w:r>
      <w:r>
        <w:rPr>
          <w:rFonts w:eastAsia="仿宋_GB2312" w:cs="Times New Roman"/>
          <w:spacing w:val="-28"/>
          <w:sz w:val="32"/>
          <w:szCs w:val="32"/>
        </w:rPr>
        <w:t>年度丰泽区一般公共预算“三公”经费支出决算情况表</w:t>
      </w:r>
    </w:p>
    <w:p w14:paraId="3F90943C">
      <w:pPr>
        <w:overflowPunct w:val="0"/>
        <w:spacing w:line="554" w:lineRule="exact"/>
        <w:ind w:firstLine="1632" w:firstLineChars="510"/>
        <w:rPr>
          <w:rFonts w:eastAsia="仿宋_GB2312" w:cs="Times New Roman"/>
          <w:sz w:val="32"/>
          <w:szCs w:val="32"/>
        </w:rPr>
      </w:pPr>
      <w:r>
        <w:rPr>
          <w:rFonts w:eastAsia="仿宋_GB2312" w:cs="Times New Roman"/>
          <w:sz w:val="32"/>
          <w:szCs w:val="32"/>
        </w:rPr>
        <w:t>5.202</w:t>
      </w:r>
      <w:r>
        <w:rPr>
          <w:rFonts w:hint="eastAsia" w:eastAsia="仿宋_GB2312" w:cs="Times New Roman"/>
          <w:sz w:val="32"/>
          <w:szCs w:val="32"/>
        </w:rPr>
        <w:t>5</w:t>
      </w:r>
      <w:r>
        <w:rPr>
          <w:rFonts w:eastAsia="仿宋_GB2312" w:cs="Times New Roman"/>
          <w:sz w:val="32"/>
          <w:szCs w:val="32"/>
        </w:rPr>
        <w:t>年度丰泽区政府性基金预算收支决算总表</w:t>
      </w:r>
    </w:p>
    <w:p w14:paraId="3B6E8A3F">
      <w:pPr>
        <w:overflowPunct w:val="0"/>
        <w:spacing w:line="554" w:lineRule="exact"/>
        <w:ind w:firstLine="1632" w:firstLineChars="510"/>
        <w:rPr>
          <w:rFonts w:eastAsia="仿宋_GB2312" w:cs="Times New Roman"/>
          <w:sz w:val="32"/>
          <w:szCs w:val="32"/>
        </w:rPr>
      </w:pPr>
      <w:r>
        <w:rPr>
          <w:rFonts w:eastAsia="仿宋_GB2312" w:cs="Times New Roman"/>
          <w:sz w:val="32"/>
          <w:szCs w:val="32"/>
        </w:rPr>
        <w:t>6.202</w:t>
      </w:r>
      <w:r>
        <w:rPr>
          <w:rFonts w:hint="eastAsia" w:eastAsia="仿宋_GB2312" w:cs="Times New Roman"/>
          <w:sz w:val="32"/>
          <w:szCs w:val="32"/>
        </w:rPr>
        <w:t>5</w:t>
      </w:r>
      <w:r>
        <w:rPr>
          <w:rFonts w:eastAsia="仿宋_GB2312" w:cs="Times New Roman"/>
          <w:sz w:val="32"/>
          <w:szCs w:val="32"/>
        </w:rPr>
        <w:t>年度丰泽区国有资本经营预算收支决算总表</w:t>
      </w:r>
    </w:p>
    <w:p w14:paraId="199CA2BA">
      <w:pPr>
        <w:overflowPunct w:val="0"/>
        <w:spacing w:line="554" w:lineRule="exact"/>
        <w:ind w:firstLine="1632" w:firstLineChars="510"/>
        <w:rPr>
          <w:rFonts w:eastAsia="仿宋_GB2312" w:cs="Times New Roman"/>
          <w:spacing w:val="-20"/>
          <w:sz w:val="32"/>
          <w:szCs w:val="32"/>
        </w:rPr>
      </w:pPr>
      <w:r>
        <w:rPr>
          <w:rFonts w:eastAsia="仿宋_GB2312" w:cs="Times New Roman"/>
          <w:sz w:val="32"/>
          <w:szCs w:val="32"/>
        </w:rPr>
        <w:t>7.</w:t>
      </w:r>
      <w:r>
        <w:rPr>
          <w:rFonts w:eastAsia="仿宋_GB2312" w:cs="Times New Roman"/>
          <w:spacing w:val="-14"/>
          <w:sz w:val="32"/>
          <w:szCs w:val="32"/>
        </w:rPr>
        <w:t>202</w:t>
      </w:r>
      <w:r>
        <w:rPr>
          <w:rFonts w:hint="eastAsia" w:eastAsia="仿宋_GB2312" w:cs="Times New Roman"/>
          <w:spacing w:val="-14"/>
          <w:sz w:val="32"/>
          <w:szCs w:val="32"/>
        </w:rPr>
        <w:t>5</w:t>
      </w:r>
      <w:r>
        <w:rPr>
          <w:rFonts w:eastAsia="仿宋_GB2312" w:cs="Times New Roman"/>
          <w:spacing w:val="-14"/>
          <w:sz w:val="32"/>
          <w:szCs w:val="32"/>
        </w:rPr>
        <w:t>年度丰泽区社会保险基金预算收支及结余情况表</w:t>
      </w:r>
    </w:p>
    <w:p w14:paraId="1FE33D0D">
      <w:pPr>
        <w:overflowPunct w:val="0"/>
        <w:spacing w:line="554" w:lineRule="exact"/>
        <w:ind w:firstLine="1632" w:firstLineChars="510"/>
        <w:rPr>
          <w:rFonts w:eastAsia="仿宋_GB2312" w:cs="Times New Roman"/>
          <w:sz w:val="32"/>
          <w:szCs w:val="32"/>
        </w:rPr>
      </w:pPr>
      <w:r>
        <w:rPr>
          <w:rFonts w:eastAsia="仿宋_GB2312" w:cs="Times New Roman"/>
          <w:sz w:val="32"/>
          <w:szCs w:val="32"/>
        </w:rPr>
        <w:t>8.202</w:t>
      </w:r>
      <w:r>
        <w:rPr>
          <w:rFonts w:hint="eastAsia" w:eastAsia="仿宋_GB2312" w:cs="Times New Roman"/>
          <w:sz w:val="32"/>
          <w:szCs w:val="32"/>
        </w:rPr>
        <w:t>5</w:t>
      </w:r>
      <w:r>
        <w:rPr>
          <w:rFonts w:eastAsia="仿宋_GB2312" w:cs="Times New Roman"/>
          <w:sz w:val="32"/>
          <w:szCs w:val="32"/>
        </w:rPr>
        <w:t>年度丰泽区债务余额和限额情况表</w:t>
      </w:r>
    </w:p>
    <w:p w14:paraId="26A9BF86">
      <w:pPr>
        <w:overflowPunct w:val="0"/>
        <w:spacing w:line="579" w:lineRule="exact"/>
        <w:ind w:firstLine="1632" w:firstLineChars="510"/>
        <w:rPr>
          <w:rFonts w:eastAsia="仿宋_GB2312" w:cs="Times New Roman"/>
          <w:sz w:val="32"/>
          <w:szCs w:val="32"/>
        </w:rPr>
      </w:pPr>
    </w:p>
    <w:p w14:paraId="5A992E51">
      <w:pPr>
        <w:overflowPunct w:val="0"/>
        <w:spacing w:line="579" w:lineRule="exact"/>
        <w:ind w:firstLine="1632" w:firstLineChars="510"/>
        <w:rPr>
          <w:rFonts w:eastAsia="仿宋_GB2312" w:cs="Times New Roman"/>
          <w:sz w:val="32"/>
          <w:szCs w:val="32"/>
        </w:rPr>
      </w:pPr>
    </w:p>
    <w:p w14:paraId="552BDCAA">
      <w:pPr>
        <w:overflowPunct w:val="0"/>
        <w:spacing w:line="579" w:lineRule="exact"/>
        <w:ind w:firstLine="1632" w:firstLineChars="510"/>
        <w:rPr>
          <w:rFonts w:eastAsia="仿宋_GB2312" w:cs="Times New Roman"/>
          <w:sz w:val="32"/>
          <w:szCs w:val="32"/>
        </w:rPr>
      </w:pPr>
    </w:p>
    <w:p w14:paraId="535CF1FC">
      <w:pPr>
        <w:overflowPunct w:val="0"/>
        <w:spacing w:line="579" w:lineRule="exact"/>
        <w:rPr>
          <w:rFonts w:hint="eastAsia"/>
        </w:rPr>
      </w:pPr>
    </w:p>
    <w:p w14:paraId="33257039">
      <w:pPr>
        <w:overflowPunct w:val="0"/>
        <w:spacing w:line="579" w:lineRule="exact"/>
        <w:sectPr>
          <w:footerReference r:id="rId3" w:type="default"/>
          <w:footerReference r:id="rId4" w:type="even"/>
          <w:type w:val="continuous"/>
          <w:pgSz w:w="11906" w:h="16838"/>
          <w:pgMar w:top="2098" w:right="1474" w:bottom="1985" w:left="1588" w:header="851" w:footer="1418" w:gutter="0"/>
          <w:cols w:space="425" w:num="1"/>
          <w:docGrid w:linePitch="312" w:charSpace="0"/>
        </w:sectPr>
      </w:pPr>
    </w:p>
    <w:p w14:paraId="393C01C7">
      <w:pPr>
        <w:overflowPunct w:val="0"/>
        <w:spacing w:line="579" w:lineRule="exact"/>
        <w:ind w:firstLine="640" w:firstLineChars="200"/>
        <w:rPr>
          <w:rFonts w:hint="eastAsia" w:eastAsia="仿宋_GB2312" w:cs="Times New Roman"/>
          <w:sz w:val="32"/>
          <w:szCs w:val="32"/>
        </w:rPr>
      </w:pPr>
    </w:p>
    <w:p w14:paraId="06A468B3">
      <w:pPr>
        <w:overflowPunct w:val="0"/>
        <w:spacing w:line="579" w:lineRule="exact"/>
        <w:ind w:firstLine="640" w:firstLineChars="200"/>
        <w:rPr>
          <w:rFonts w:hint="eastAsia" w:eastAsia="仿宋_GB2312" w:cs="Times New Roman"/>
          <w:sz w:val="32"/>
          <w:szCs w:val="32"/>
        </w:rPr>
      </w:pPr>
    </w:p>
    <w:p w14:paraId="35C0E42E">
      <w:pPr>
        <w:overflowPunct w:val="0"/>
        <w:spacing w:line="579" w:lineRule="exact"/>
        <w:ind w:firstLine="640" w:firstLineChars="200"/>
        <w:rPr>
          <w:rFonts w:hint="eastAsia" w:eastAsia="仿宋_GB2312" w:cs="Times New Roman"/>
          <w:sz w:val="32"/>
          <w:szCs w:val="32"/>
        </w:rPr>
      </w:pPr>
    </w:p>
    <w:p w14:paraId="33BB76E4">
      <w:pPr>
        <w:overflowPunct w:val="0"/>
        <w:spacing w:line="579" w:lineRule="exact"/>
        <w:ind w:firstLine="640" w:firstLineChars="200"/>
        <w:rPr>
          <w:rFonts w:hint="eastAsia" w:eastAsia="仿宋_GB2312" w:cs="Times New Roman"/>
          <w:sz w:val="32"/>
          <w:szCs w:val="32"/>
        </w:rPr>
      </w:pPr>
    </w:p>
    <w:p w14:paraId="72078A5E">
      <w:pPr>
        <w:overflowPunct w:val="0"/>
        <w:spacing w:line="579" w:lineRule="exact"/>
        <w:ind w:firstLine="640" w:firstLineChars="200"/>
        <w:rPr>
          <w:rFonts w:hint="eastAsia" w:eastAsia="仿宋_GB2312" w:cs="Times New Roman"/>
          <w:sz w:val="32"/>
          <w:szCs w:val="32"/>
        </w:rPr>
      </w:pPr>
    </w:p>
    <w:p w14:paraId="47A7743F">
      <w:pPr>
        <w:overflowPunct w:val="0"/>
        <w:spacing w:line="579" w:lineRule="exact"/>
        <w:ind w:firstLine="640" w:firstLineChars="200"/>
        <w:rPr>
          <w:rFonts w:hint="eastAsia" w:eastAsia="仿宋_GB2312" w:cs="Times New Roman"/>
          <w:sz w:val="32"/>
          <w:szCs w:val="32"/>
        </w:rPr>
      </w:pPr>
    </w:p>
    <w:p w14:paraId="57C3CB0C">
      <w:pPr>
        <w:overflowPunct w:val="0"/>
        <w:spacing w:line="579" w:lineRule="exact"/>
        <w:ind w:firstLine="640" w:firstLineChars="200"/>
        <w:rPr>
          <w:rFonts w:hint="eastAsia" w:eastAsia="仿宋_GB2312" w:cs="Times New Roman"/>
          <w:sz w:val="32"/>
          <w:szCs w:val="32"/>
        </w:rPr>
      </w:pPr>
    </w:p>
    <w:p w14:paraId="4CDCA4FA">
      <w:pPr>
        <w:overflowPunct w:val="0"/>
        <w:spacing w:line="579" w:lineRule="exact"/>
        <w:ind w:firstLine="640" w:firstLineChars="200"/>
        <w:rPr>
          <w:rFonts w:hint="eastAsia" w:eastAsia="仿宋_GB2312" w:cs="Times New Roman"/>
          <w:sz w:val="32"/>
          <w:szCs w:val="32"/>
        </w:rPr>
      </w:pPr>
    </w:p>
    <w:p w14:paraId="248718DD">
      <w:pPr>
        <w:overflowPunct w:val="0"/>
        <w:spacing w:line="579" w:lineRule="exact"/>
        <w:ind w:firstLine="640" w:firstLineChars="200"/>
        <w:rPr>
          <w:rFonts w:hint="eastAsia" w:eastAsia="仿宋_GB2312" w:cs="Times New Roman"/>
          <w:sz w:val="32"/>
          <w:szCs w:val="32"/>
        </w:rPr>
      </w:pPr>
    </w:p>
    <w:p w14:paraId="11283E1D">
      <w:pPr>
        <w:overflowPunct w:val="0"/>
        <w:spacing w:line="579" w:lineRule="exact"/>
        <w:ind w:firstLine="640" w:firstLineChars="200"/>
        <w:rPr>
          <w:rFonts w:hint="eastAsia" w:eastAsia="仿宋_GB2312" w:cs="Times New Roman"/>
          <w:sz w:val="32"/>
          <w:szCs w:val="32"/>
        </w:rPr>
      </w:pPr>
    </w:p>
    <w:p w14:paraId="64A084D2">
      <w:pPr>
        <w:overflowPunct w:val="0"/>
        <w:spacing w:line="579" w:lineRule="exact"/>
        <w:ind w:firstLine="640" w:firstLineChars="200"/>
        <w:rPr>
          <w:rFonts w:hint="eastAsia" w:eastAsia="仿宋_GB2312" w:cs="Times New Roman"/>
          <w:sz w:val="32"/>
          <w:szCs w:val="32"/>
        </w:rPr>
      </w:pPr>
    </w:p>
    <w:p w14:paraId="5A70A0FC">
      <w:pPr>
        <w:overflowPunct w:val="0"/>
        <w:spacing w:line="579" w:lineRule="exact"/>
        <w:ind w:firstLine="640" w:firstLineChars="200"/>
        <w:rPr>
          <w:rFonts w:hint="eastAsia" w:eastAsia="仿宋_GB2312" w:cs="Times New Roman"/>
          <w:sz w:val="32"/>
          <w:szCs w:val="32"/>
        </w:rPr>
      </w:pPr>
    </w:p>
    <w:p w14:paraId="73196FE9">
      <w:pPr>
        <w:overflowPunct w:val="0"/>
        <w:spacing w:line="579" w:lineRule="exact"/>
        <w:ind w:firstLine="640" w:firstLineChars="200"/>
        <w:rPr>
          <w:rFonts w:hint="eastAsia" w:eastAsia="仿宋_GB2312" w:cs="Times New Roman"/>
          <w:sz w:val="32"/>
          <w:szCs w:val="32"/>
        </w:rPr>
      </w:pPr>
    </w:p>
    <w:p w14:paraId="34A67E94">
      <w:pPr>
        <w:overflowPunct w:val="0"/>
        <w:spacing w:line="579" w:lineRule="exact"/>
        <w:ind w:firstLine="640" w:firstLineChars="200"/>
        <w:rPr>
          <w:rFonts w:hint="eastAsia" w:eastAsia="仿宋_GB2312" w:cs="Times New Roman"/>
          <w:sz w:val="32"/>
          <w:szCs w:val="32"/>
        </w:rPr>
      </w:pPr>
    </w:p>
    <w:p w14:paraId="3D399DC4">
      <w:pPr>
        <w:overflowPunct w:val="0"/>
        <w:spacing w:line="579" w:lineRule="exact"/>
        <w:ind w:firstLine="640" w:firstLineChars="200"/>
        <w:rPr>
          <w:rFonts w:hint="eastAsia" w:eastAsia="仿宋_GB2312" w:cs="Times New Roman"/>
          <w:sz w:val="32"/>
          <w:szCs w:val="32"/>
        </w:rPr>
      </w:pPr>
    </w:p>
    <w:p w14:paraId="52A02144">
      <w:pPr>
        <w:overflowPunct w:val="0"/>
        <w:spacing w:line="579" w:lineRule="exact"/>
        <w:ind w:firstLine="640" w:firstLineChars="200"/>
        <w:rPr>
          <w:rFonts w:hint="eastAsia" w:eastAsia="仿宋_GB2312" w:cs="Times New Roman"/>
          <w:sz w:val="32"/>
          <w:szCs w:val="32"/>
        </w:rPr>
      </w:pPr>
    </w:p>
    <w:p w14:paraId="0775A026">
      <w:pPr>
        <w:overflowPunct w:val="0"/>
        <w:spacing w:line="579" w:lineRule="exact"/>
        <w:ind w:firstLine="640" w:firstLineChars="200"/>
        <w:rPr>
          <w:rFonts w:hint="eastAsia" w:eastAsia="仿宋_GB2312" w:cs="Times New Roman"/>
          <w:sz w:val="32"/>
          <w:szCs w:val="32"/>
        </w:rPr>
      </w:pPr>
    </w:p>
    <w:p w14:paraId="10C6593E">
      <w:pPr>
        <w:overflowPunct w:val="0"/>
        <w:spacing w:line="579" w:lineRule="exact"/>
        <w:ind w:firstLine="640" w:firstLineChars="200"/>
        <w:rPr>
          <w:rFonts w:hint="eastAsia" w:eastAsia="仿宋_GB2312" w:cs="Times New Roman"/>
          <w:sz w:val="32"/>
          <w:szCs w:val="32"/>
        </w:rPr>
      </w:pPr>
    </w:p>
    <w:p w14:paraId="4D54E884">
      <w:pPr>
        <w:overflowPunct w:val="0"/>
        <w:spacing w:line="579" w:lineRule="exact"/>
        <w:ind w:firstLine="640" w:firstLineChars="200"/>
        <w:rPr>
          <w:rFonts w:hint="eastAsia" w:eastAsia="仿宋_GB2312" w:cs="Times New Roman"/>
          <w:sz w:val="32"/>
          <w:szCs w:val="32"/>
        </w:rPr>
      </w:pPr>
    </w:p>
    <w:p w14:paraId="73ACEDBE">
      <w:pPr>
        <w:overflowPunct w:val="0"/>
        <w:spacing w:line="20" w:lineRule="exact"/>
        <w:ind w:firstLine="640" w:firstLineChars="200"/>
        <w:rPr>
          <w:rFonts w:hint="eastAsia" w:eastAsia="仿宋_GB2312" w:cs="Times New Roman"/>
          <w:sz w:val="32"/>
          <w:szCs w:val="32"/>
        </w:rPr>
      </w:pPr>
    </w:p>
    <w:p w14:paraId="1670008D">
      <w:pPr>
        <w:overflowPunct w:val="0"/>
        <w:spacing w:line="20" w:lineRule="exact"/>
        <w:ind w:firstLine="640" w:firstLineChars="200"/>
        <w:rPr>
          <w:rFonts w:hint="eastAsia" w:eastAsia="仿宋_GB2312" w:cs="Times New Roman"/>
          <w:sz w:val="32"/>
          <w:szCs w:val="32"/>
        </w:rPr>
      </w:pPr>
    </w:p>
    <w:p w14:paraId="5DFCFA27">
      <w:pPr>
        <w:overflowPunct w:val="0"/>
        <w:spacing w:line="20" w:lineRule="exact"/>
        <w:ind w:firstLine="640" w:firstLineChars="200"/>
        <w:rPr>
          <w:rFonts w:hint="eastAsia" w:eastAsia="仿宋_GB2312" w:cs="Times New Roman"/>
          <w:sz w:val="32"/>
          <w:szCs w:val="32"/>
        </w:rPr>
      </w:pPr>
    </w:p>
    <w:p w14:paraId="0CD3EDAF">
      <w:pPr>
        <w:overflowPunct w:val="0"/>
        <w:spacing w:line="20" w:lineRule="exact"/>
        <w:ind w:firstLine="640" w:firstLineChars="200"/>
        <w:rPr>
          <w:rFonts w:hint="eastAsia" w:eastAsia="仿宋_GB2312" w:cs="Times New Roman"/>
          <w:sz w:val="32"/>
          <w:szCs w:val="32"/>
        </w:rPr>
      </w:pPr>
    </w:p>
    <w:p w14:paraId="195BB9CC">
      <w:pPr>
        <w:overflowPunct w:val="0"/>
        <w:spacing w:line="20" w:lineRule="exact"/>
        <w:ind w:firstLine="640" w:firstLineChars="200"/>
        <w:rPr>
          <w:rFonts w:hint="eastAsia" w:eastAsia="仿宋_GB2312" w:cs="Times New Roman"/>
          <w:sz w:val="32"/>
          <w:szCs w:val="32"/>
        </w:rPr>
      </w:pPr>
    </w:p>
    <w:p w14:paraId="5D8F0BAC">
      <w:pPr>
        <w:overflowPunct w:val="0"/>
        <w:spacing w:line="20" w:lineRule="exact"/>
        <w:ind w:firstLine="640" w:firstLineChars="200"/>
        <w:rPr>
          <w:rFonts w:hint="eastAsia" w:eastAsia="仿宋_GB2312" w:cs="Times New Roman"/>
          <w:sz w:val="32"/>
          <w:szCs w:val="32"/>
        </w:rPr>
      </w:pPr>
    </w:p>
    <w:p w14:paraId="1C8B3499">
      <w:pPr>
        <w:overflowPunct w:val="0"/>
        <w:spacing w:line="20" w:lineRule="exact"/>
        <w:ind w:firstLine="640" w:firstLineChars="200"/>
        <w:rPr>
          <w:rFonts w:hint="eastAsia" w:eastAsia="仿宋_GB2312" w:cs="Times New Roman"/>
          <w:sz w:val="32"/>
          <w:szCs w:val="32"/>
        </w:rPr>
      </w:pPr>
    </w:p>
    <w:p w14:paraId="6C8393BC">
      <w:pPr>
        <w:overflowPunct w:val="0"/>
        <w:spacing w:line="20" w:lineRule="exact"/>
        <w:ind w:firstLine="640" w:firstLineChars="200"/>
        <w:rPr>
          <w:rFonts w:hint="eastAsia" w:eastAsia="仿宋_GB2312" w:cs="Times New Roman"/>
          <w:sz w:val="32"/>
          <w:szCs w:val="32"/>
        </w:rPr>
      </w:pPr>
    </w:p>
    <w:p w14:paraId="018E05CF">
      <w:pPr>
        <w:overflowPunct w:val="0"/>
        <w:spacing w:line="20" w:lineRule="exact"/>
        <w:ind w:firstLine="640" w:firstLineChars="200"/>
        <w:rPr>
          <w:rFonts w:hint="eastAsia" w:eastAsia="仿宋_GB2312" w:cs="Times New Roman"/>
          <w:sz w:val="32"/>
          <w:szCs w:val="32"/>
        </w:rPr>
      </w:pPr>
    </w:p>
    <w:p w14:paraId="75004490">
      <w:pPr>
        <w:overflowPunct w:val="0"/>
        <w:spacing w:line="20" w:lineRule="exact"/>
        <w:ind w:firstLine="640" w:firstLineChars="200"/>
        <w:rPr>
          <w:rFonts w:hint="eastAsia" w:eastAsia="仿宋_GB2312" w:cs="Times New Roman"/>
          <w:sz w:val="32"/>
          <w:szCs w:val="32"/>
        </w:rPr>
      </w:pPr>
    </w:p>
    <w:p w14:paraId="70A5E817">
      <w:pPr>
        <w:overflowPunct w:val="0"/>
        <w:spacing w:line="20" w:lineRule="exact"/>
        <w:ind w:firstLine="640" w:firstLineChars="200"/>
        <w:rPr>
          <w:rFonts w:hint="eastAsia" w:eastAsia="仿宋_GB2312" w:cs="Times New Roman"/>
          <w:sz w:val="32"/>
          <w:szCs w:val="32"/>
        </w:rPr>
      </w:pPr>
    </w:p>
    <w:p w14:paraId="6BB1A563">
      <w:pPr>
        <w:overflowPunct w:val="0"/>
        <w:spacing w:line="20" w:lineRule="exact"/>
        <w:ind w:firstLine="640" w:firstLineChars="200"/>
        <w:rPr>
          <w:rFonts w:hint="eastAsia" w:eastAsia="仿宋_GB2312" w:cs="Times New Roman"/>
          <w:sz w:val="32"/>
          <w:szCs w:val="32"/>
        </w:rPr>
      </w:pPr>
    </w:p>
    <w:p w14:paraId="62745A31">
      <w:pPr>
        <w:overflowPunct w:val="0"/>
        <w:spacing w:line="20" w:lineRule="exact"/>
        <w:ind w:firstLine="640" w:firstLineChars="200"/>
        <w:rPr>
          <w:rFonts w:hint="eastAsia" w:eastAsia="仿宋_GB2312" w:cs="Times New Roman"/>
          <w:sz w:val="32"/>
          <w:szCs w:val="32"/>
        </w:rPr>
      </w:pPr>
    </w:p>
    <w:p w14:paraId="50076724">
      <w:pPr>
        <w:overflowPunct w:val="0"/>
        <w:spacing w:line="20" w:lineRule="exact"/>
        <w:ind w:firstLine="640" w:firstLineChars="200"/>
        <w:rPr>
          <w:rFonts w:hint="eastAsia" w:eastAsia="仿宋_GB2312" w:cs="Times New Roman"/>
          <w:sz w:val="32"/>
          <w:szCs w:val="32"/>
        </w:rPr>
      </w:pPr>
    </w:p>
    <w:p w14:paraId="6B83DC6B">
      <w:pPr>
        <w:overflowPunct w:val="0"/>
        <w:spacing w:line="20" w:lineRule="exact"/>
        <w:ind w:firstLine="640" w:firstLineChars="200"/>
        <w:rPr>
          <w:rFonts w:hint="eastAsia" w:eastAsia="仿宋_GB2312" w:cs="Times New Roman"/>
          <w:sz w:val="32"/>
          <w:szCs w:val="32"/>
        </w:rPr>
      </w:pPr>
    </w:p>
    <w:p w14:paraId="6BD6DCAD">
      <w:pPr>
        <w:overflowPunct w:val="0"/>
        <w:spacing w:line="20" w:lineRule="exact"/>
        <w:ind w:firstLine="640" w:firstLineChars="200"/>
        <w:rPr>
          <w:rFonts w:hint="eastAsia" w:eastAsia="仿宋_GB2312" w:cs="Times New Roman"/>
          <w:sz w:val="32"/>
          <w:szCs w:val="32"/>
        </w:rPr>
      </w:pPr>
    </w:p>
    <w:p w14:paraId="35070568">
      <w:pPr>
        <w:overflowPunct w:val="0"/>
        <w:spacing w:line="20" w:lineRule="exact"/>
        <w:ind w:firstLine="640" w:firstLineChars="200"/>
        <w:rPr>
          <w:rFonts w:hint="eastAsia" w:eastAsia="仿宋_GB2312" w:cs="Times New Roman"/>
          <w:sz w:val="32"/>
          <w:szCs w:val="32"/>
        </w:rPr>
      </w:pPr>
    </w:p>
    <w:p w14:paraId="00855A10">
      <w:pPr>
        <w:overflowPunct w:val="0"/>
        <w:spacing w:line="20" w:lineRule="exact"/>
        <w:ind w:firstLine="640" w:firstLineChars="200"/>
        <w:rPr>
          <w:rFonts w:hint="eastAsia" w:eastAsia="仿宋_GB2312" w:cs="Times New Roman"/>
          <w:sz w:val="32"/>
          <w:szCs w:val="32"/>
        </w:rPr>
      </w:pPr>
    </w:p>
    <w:p w14:paraId="6B5A0984">
      <w:pPr>
        <w:overflowPunct w:val="0"/>
        <w:spacing w:line="20" w:lineRule="exact"/>
        <w:ind w:firstLine="640" w:firstLineChars="200"/>
        <w:rPr>
          <w:rFonts w:hint="eastAsia" w:eastAsia="仿宋_GB2312" w:cs="Times New Roman"/>
          <w:sz w:val="32"/>
          <w:szCs w:val="32"/>
        </w:rPr>
      </w:pPr>
    </w:p>
    <w:p w14:paraId="16CC3B30">
      <w:pPr>
        <w:overflowPunct w:val="0"/>
        <w:spacing w:line="20" w:lineRule="exact"/>
        <w:ind w:firstLine="640" w:firstLineChars="200"/>
        <w:rPr>
          <w:rFonts w:hint="eastAsia" w:eastAsia="仿宋_GB2312" w:cs="Times New Roman"/>
          <w:sz w:val="32"/>
          <w:szCs w:val="32"/>
        </w:rPr>
      </w:pPr>
    </w:p>
    <w:p w14:paraId="28A66B3C">
      <w:pPr>
        <w:overflowPunct w:val="0"/>
        <w:spacing w:line="20" w:lineRule="exact"/>
        <w:ind w:firstLine="640" w:firstLineChars="200"/>
        <w:rPr>
          <w:rFonts w:hint="eastAsia" w:eastAsia="仿宋_GB2312" w:cs="Times New Roman"/>
          <w:sz w:val="32"/>
          <w:szCs w:val="32"/>
        </w:rPr>
      </w:pPr>
    </w:p>
    <w:p w14:paraId="16D74732">
      <w:pPr>
        <w:overflowPunct w:val="0"/>
        <w:spacing w:line="20" w:lineRule="exact"/>
        <w:ind w:firstLine="640" w:firstLineChars="200"/>
        <w:rPr>
          <w:rFonts w:hint="eastAsia" w:eastAsia="仿宋_GB2312" w:cs="Times New Roman"/>
          <w:sz w:val="32"/>
          <w:szCs w:val="32"/>
        </w:rPr>
      </w:pPr>
    </w:p>
    <w:p w14:paraId="20EDD42A">
      <w:pPr>
        <w:overflowPunct w:val="0"/>
        <w:spacing w:line="20" w:lineRule="exact"/>
        <w:ind w:firstLine="640" w:firstLineChars="200"/>
        <w:rPr>
          <w:rFonts w:hint="eastAsia" w:eastAsia="仿宋_GB2312" w:cs="Times New Roman"/>
          <w:sz w:val="32"/>
          <w:szCs w:val="32"/>
        </w:rPr>
      </w:pPr>
    </w:p>
    <w:p w14:paraId="1B5CB922">
      <w:pPr>
        <w:overflowPunct w:val="0"/>
        <w:spacing w:line="20" w:lineRule="exact"/>
        <w:ind w:firstLine="640" w:firstLineChars="200"/>
        <w:rPr>
          <w:rFonts w:hint="eastAsia" w:eastAsia="仿宋_GB2312" w:cs="Times New Roman"/>
          <w:sz w:val="32"/>
          <w:szCs w:val="32"/>
        </w:rPr>
      </w:pPr>
    </w:p>
    <w:p w14:paraId="1A96E9F1">
      <w:pPr>
        <w:overflowPunct w:val="0"/>
        <w:spacing w:line="20" w:lineRule="exact"/>
        <w:ind w:firstLine="640" w:firstLineChars="200"/>
        <w:rPr>
          <w:rFonts w:hint="eastAsia" w:eastAsia="仿宋_GB2312" w:cs="Times New Roman"/>
          <w:sz w:val="32"/>
          <w:szCs w:val="32"/>
        </w:rPr>
      </w:pPr>
    </w:p>
    <w:p w14:paraId="24B484A6">
      <w:pPr>
        <w:overflowPunct w:val="0"/>
        <w:spacing w:line="20" w:lineRule="exact"/>
        <w:ind w:firstLine="640" w:firstLineChars="200"/>
        <w:rPr>
          <w:rFonts w:hint="eastAsia" w:eastAsia="仿宋_GB2312" w:cs="Times New Roman"/>
          <w:sz w:val="32"/>
          <w:szCs w:val="32"/>
        </w:rPr>
      </w:pPr>
    </w:p>
    <w:p w14:paraId="670DB1FC">
      <w:pPr>
        <w:overflowPunct w:val="0"/>
        <w:spacing w:line="20" w:lineRule="exact"/>
        <w:ind w:firstLine="640" w:firstLineChars="200"/>
        <w:rPr>
          <w:rFonts w:hint="eastAsia" w:eastAsia="仿宋_GB2312" w:cs="Times New Roman"/>
          <w:sz w:val="32"/>
          <w:szCs w:val="32"/>
        </w:rPr>
      </w:pPr>
    </w:p>
    <w:p w14:paraId="56130637">
      <w:pPr>
        <w:overflowPunct w:val="0"/>
        <w:spacing w:line="20" w:lineRule="exact"/>
        <w:ind w:firstLine="640" w:firstLineChars="200"/>
        <w:rPr>
          <w:rFonts w:hint="eastAsia" w:eastAsia="仿宋_GB2312" w:cs="Times New Roman"/>
          <w:sz w:val="32"/>
          <w:szCs w:val="32"/>
        </w:rPr>
      </w:pPr>
    </w:p>
    <w:p w14:paraId="7D425727">
      <w:pPr>
        <w:overflowPunct w:val="0"/>
        <w:spacing w:line="20" w:lineRule="exact"/>
        <w:ind w:firstLine="640" w:firstLineChars="200"/>
        <w:rPr>
          <w:rFonts w:hint="eastAsia" w:eastAsia="仿宋_GB2312" w:cs="Times New Roman"/>
          <w:sz w:val="32"/>
          <w:szCs w:val="32"/>
        </w:rPr>
      </w:pPr>
    </w:p>
    <w:p w14:paraId="4CEBA030">
      <w:pPr>
        <w:overflowPunct w:val="0"/>
        <w:spacing w:line="20" w:lineRule="exact"/>
        <w:ind w:firstLine="640" w:firstLineChars="200"/>
        <w:rPr>
          <w:rFonts w:hint="eastAsia" w:eastAsia="仿宋_GB2312" w:cs="Times New Roman"/>
          <w:sz w:val="32"/>
          <w:szCs w:val="32"/>
        </w:rPr>
      </w:pPr>
    </w:p>
    <w:p w14:paraId="0AAD8756">
      <w:pPr>
        <w:overflowPunct w:val="0"/>
        <w:spacing w:line="20" w:lineRule="exact"/>
        <w:ind w:firstLine="640" w:firstLineChars="200"/>
        <w:rPr>
          <w:rFonts w:hint="eastAsia" w:eastAsia="仿宋_GB2312" w:cs="Times New Roman"/>
          <w:sz w:val="32"/>
          <w:szCs w:val="32"/>
        </w:rPr>
      </w:pPr>
    </w:p>
    <w:p w14:paraId="3090D9A8">
      <w:pPr>
        <w:overflowPunct w:val="0"/>
        <w:spacing w:line="20" w:lineRule="exact"/>
        <w:ind w:firstLine="640" w:firstLineChars="200"/>
        <w:rPr>
          <w:rFonts w:hint="eastAsia" w:eastAsia="仿宋_GB2312" w:cs="Times New Roman"/>
          <w:sz w:val="32"/>
          <w:szCs w:val="32"/>
        </w:rPr>
      </w:pPr>
    </w:p>
    <w:p w14:paraId="258219EA">
      <w:pPr>
        <w:overflowPunct w:val="0"/>
        <w:spacing w:line="20" w:lineRule="exact"/>
        <w:ind w:firstLine="640" w:firstLineChars="200"/>
        <w:rPr>
          <w:rFonts w:hint="eastAsia" w:eastAsia="仿宋_GB2312" w:cs="Times New Roman"/>
          <w:sz w:val="32"/>
          <w:szCs w:val="32"/>
        </w:rPr>
      </w:pPr>
    </w:p>
    <w:p w14:paraId="16E27AC2">
      <w:pPr>
        <w:overflowPunct w:val="0"/>
        <w:spacing w:line="20" w:lineRule="exact"/>
        <w:ind w:firstLine="640" w:firstLineChars="200"/>
        <w:rPr>
          <w:rFonts w:hint="eastAsia" w:eastAsia="仿宋_GB2312" w:cs="Times New Roman"/>
          <w:sz w:val="32"/>
          <w:szCs w:val="32"/>
        </w:rPr>
      </w:pPr>
    </w:p>
    <w:p w14:paraId="11EC4758">
      <w:pPr>
        <w:overflowPunct w:val="0"/>
        <w:spacing w:line="20" w:lineRule="exact"/>
        <w:ind w:firstLine="640" w:firstLineChars="200"/>
        <w:rPr>
          <w:rFonts w:hint="eastAsia" w:eastAsia="仿宋_GB2312" w:cs="Times New Roman"/>
          <w:sz w:val="32"/>
          <w:szCs w:val="32"/>
        </w:rPr>
      </w:pPr>
    </w:p>
    <w:p w14:paraId="6DECA3FE">
      <w:pPr>
        <w:overflowPunct w:val="0"/>
        <w:spacing w:line="20" w:lineRule="exact"/>
        <w:ind w:firstLine="640" w:firstLineChars="200"/>
        <w:rPr>
          <w:rFonts w:hint="eastAsia" w:eastAsia="仿宋_GB2312" w:cs="Times New Roman"/>
          <w:sz w:val="32"/>
          <w:szCs w:val="32"/>
        </w:rPr>
      </w:pPr>
    </w:p>
    <w:p w14:paraId="6E7670CD">
      <w:pPr>
        <w:overflowPunct w:val="0"/>
        <w:spacing w:line="20" w:lineRule="exact"/>
        <w:ind w:firstLine="640" w:firstLineChars="200"/>
        <w:rPr>
          <w:rFonts w:hint="eastAsia" w:eastAsia="仿宋_GB2312" w:cs="Times New Roman"/>
          <w:sz w:val="32"/>
          <w:szCs w:val="32"/>
        </w:rPr>
      </w:pPr>
    </w:p>
    <w:p w14:paraId="36EFEA91">
      <w:pPr>
        <w:overflowPunct w:val="0"/>
        <w:spacing w:line="20" w:lineRule="exact"/>
        <w:ind w:firstLine="640" w:firstLineChars="200"/>
        <w:rPr>
          <w:rFonts w:hint="eastAsia" w:eastAsia="仿宋_GB2312" w:cs="Times New Roman"/>
          <w:sz w:val="32"/>
          <w:szCs w:val="32"/>
        </w:rPr>
      </w:pPr>
    </w:p>
    <w:p w14:paraId="0B192B5B">
      <w:pPr>
        <w:overflowPunct w:val="0"/>
        <w:spacing w:line="20" w:lineRule="exact"/>
        <w:ind w:firstLine="640" w:firstLineChars="200"/>
        <w:rPr>
          <w:rFonts w:hint="eastAsia" w:eastAsia="仿宋_GB2312" w:cs="Times New Roman"/>
          <w:sz w:val="32"/>
          <w:szCs w:val="32"/>
        </w:rPr>
      </w:pPr>
    </w:p>
    <w:p w14:paraId="0E5BF7FB">
      <w:pPr>
        <w:overflowPunct w:val="0"/>
        <w:spacing w:line="20" w:lineRule="exact"/>
        <w:ind w:firstLine="640" w:firstLineChars="200"/>
        <w:rPr>
          <w:rFonts w:hint="eastAsia" w:eastAsia="仿宋_GB2312" w:cs="Times New Roman"/>
          <w:sz w:val="32"/>
          <w:szCs w:val="32"/>
        </w:rPr>
      </w:pPr>
    </w:p>
    <w:p w14:paraId="1B56CF1C">
      <w:pPr>
        <w:overflowPunct w:val="0"/>
        <w:spacing w:line="20" w:lineRule="exact"/>
        <w:ind w:firstLine="640" w:firstLineChars="200"/>
        <w:rPr>
          <w:rFonts w:hint="eastAsia" w:eastAsia="仿宋_GB2312" w:cs="Times New Roman"/>
          <w:sz w:val="32"/>
          <w:szCs w:val="32"/>
        </w:rPr>
      </w:pPr>
    </w:p>
    <w:p w14:paraId="2BF8A9EA">
      <w:pPr>
        <w:overflowPunct w:val="0"/>
        <w:spacing w:line="20" w:lineRule="exact"/>
        <w:ind w:firstLine="640" w:firstLineChars="200"/>
        <w:rPr>
          <w:rFonts w:hint="eastAsia" w:eastAsia="仿宋_GB2312" w:cs="Times New Roman"/>
          <w:sz w:val="32"/>
          <w:szCs w:val="32"/>
        </w:rPr>
      </w:pPr>
    </w:p>
    <w:p w14:paraId="1A0A06BB">
      <w:pPr>
        <w:overflowPunct w:val="0"/>
        <w:spacing w:line="20" w:lineRule="exact"/>
        <w:ind w:firstLine="640" w:firstLineChars="200"/>
        <w:rPr>
          <w:rFonts w:hint="eastAsia" w:eastAsia="仿宋_GB2312" w:cs="Times New Roman"/>
          <w:sz w:val="32"/>
          <w:szCs w:val="32"/>
        </w:rPr>
      </w:pPr>
    </w:p>
    <w:p w14:paraId="093F60AF">
      <w:pPr>
        <w:overflowPunct w:val="0"/>
        <w:spacing w:line="20" w:lineRule="exact"/>
        <w:ind w:firstLine="640" w:firstLineChars="200"/>
        <w:rPr>
          <w:rFonts w:hint="eastAsia" w:eastAsia="仿宋_GB2312" w:cs="Times New Roman"/>
          <w:sz w:val="32"/>
          <w:szCs w:val="32"/>
        </w:rPr>
      </w:pPr>
    </w:p>
    <w:p w14:paraId="6D907707">
      <w:pPr>
        <w:overflowPunct w:val="0"/>
        <w:spacing w:line="20" w:lineRule="exact"/>
        <w:ind w:firstLine="640" w:firstLineChars="200"/>
        <w:rPr>
          <w:rFonts w:hint="eastAsia" w:eastAsia="仿宋_GB2312" w:cs="Times New Roman"/>
          <w:sz w:val="32"/>
          <w:szCs w:val="32"/>
        </w:rPr>
      </w:pPr>
    </w:p>
    <w:p w14:paraId="2A932F0F">
      <w:pPr>
        <w:overflowPunct w:val="0"/>
        <w:spacing w:line="20" w:lineRule="exact"/>
        <w:ind w:firstLine="640" w:firstLineChars="200"/>
        <w:rPr>
          <w:rFonts w:hint="eastAsia" w:eastAsia="仿宋_GB2312" w:cs="Times New Roman"/>
          <w:sz w:val="32"/>
          <w:szCs w:val="32"/>
        </w:rPr>
      </w:pPr>
    </w:p>
    <w:p w14:paraId="155A63AA">
      <w:pPr>
        <w:overflowPunct w:val="0"/>
        <w:spacing w:line="20" w:lineRule="exact"/>
        <w:ind w:firstLine="640" w:firstLineChars="200"/>
        <w:rPr>
          <w:rFonts w:hint="eastAsia" w:eastAsia="仿宋_GB2312" w:cs="Times New Roman"/>
          <w:sz w:val="32"/>
          <w:szCs w:val="32"/>
        </w:rPr>
      </w:pPr>
    </w:p>
    <w:p w14:paraId="4673C0F7">
      <w:pPr>
        <w:overflowPunct w:val="0"/>
        <w:spacing w:line="20" w:lineRule="exact"/>
        <w:ind w:firstLine="640" w:firstLineChars="200"/>
        <w:rPr>
          <w:rFonts w:hint="eastAsia" w:eastAsia="仿宋_GB2312" w:cs="Times New Roman"/>
          <w:sz w:val="32"/>
          <w:szCs w:val="32"/>
        </w:rPr>
      </w:pPr>
    </w:p>
    <w:p w14:paraId="6C3E0F4F">
      <w:pPr>
        <w:overflowPunct w:val="0"/>
        <w:spacing w:line="20" w:lineRule="exact"/>
        <w:ind w:firstLine="640" w:firstLineChars="200"/>
        <w:rPr>
          <w:rFonts w:hint="eastAsia" w:eastAsia="仿宋_GB2312" w:cs="Times New Roman"/>
          <w:sz w:val="32"/>
          <w:szCs w:val="32"/>
        </w:rPr>
      </w:pPr>
    </w:p>
    <w:p w14:paraId="6300C6DA">
      <w:pPr>
        <w:overflowPunct w:val="0"/>
        <w:spacing w:line="20" w:lineRule="exact"/>
        <w:ind w:firstLine="640" w:firstLineChars="200"/>
        <w:rPr>
          <w:rFonts w:hint="eastAsia" w:eastAsia="仿宋_GB2312" w:cs="Times New Roman"/>
          <w:sz w:val="32"/>
          <w:szCs w:val="32"/>
        </w:rPr>
      </w:pPr>
    </w:p>
    <w:p w14:paraId="165D5D1F">
      <w:pPr>
        <w:overflowPunct w:val="0"/>
        <w:spacing w:line="20" w:lineRule="exact"/>
        <w:ind w:firstLine="640" w:firstLineChars="200"/>
        <w:rPr>
          <w:rFonts w:hint="eastAsia" w:eastAsia="仿宋_GB2312" w:cs="Times New Roman"/>
          <w:sz w:val="32"/>
          <w:szCs w:val="32"/>
        </w:rPr>
      </w:pPr>
    </w:p>
    <w:p w14:paraId="7022AF04">
      <w:pPr>
        <w:overflowPunct w:val="0"/>
        <w:spacing w:line="20" w:lineRule="exact"/>
        <w:ind w:firstLine="640" w:firstLineChars="200"/>
        <w:rPr>
          <w:rFonts w:hint="eastAsia" w:eastAsia="仿宋_GB2312" w:cs="Times New Roman"/>
          <w:sz w:val="32"/>
          <w:szCs w:val="32"/>
        </w:rPr>
      </w:pPr>
    </w:p>
    <w:p w14:paraId="6B1D3019">
      <w:pPr>
        <w:overflowPunct w:val="0"/>
        <w:spacing w:line="20" w:lineRule="exact"/>
        <w:ind w:firstLine="640" w:firstLineChars="200"/>
        <w:rPr>
          <w:rFonts w:eastAsia="仿宋_GB2312" w:cs="Times New Roman"/>
          <w:sz w:val="32"/>
          <w:szCs w:val="32"/>
        </w:rPr>
      </w:pPr>
    </w:p>
    <w:tbl>
      <w:tblPr>
        <w:tblStyle w:val="10"/>
        <w:tblW w:w="8850"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50"/>
      </w:tblGrid>
      <w:tr w14:paraId="2FC9AE4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845" w:type="dxa"/>
            <w:tcBorders>
              <w:top w:val="single" w:color="auto" w:sz="4" w:space="0"/>
              <w:left w:val="nil"/>
              <w:bottom w:val="single" w:color="auto" w:sz="4" w:space="0"/>
              <w:right w:val="nil"/>
            </w:tcBorders>
            <w:vAlign w:val="center"/>
          </w:tcPr>
          <w:p w14:paraId="05154F8B">
            <w:pPr>
              <w:snapToGrid w:val="0"/>
              <w:ind w:left="105" w:leftChars="50"/>
              <w:rPr>
                <w:rFonts w:ascii="仿宋_GB2312" w:eastAsia="仿宋_GB2312"/>
                <w:sz w:val="28"/>
                <w:szCs w:val="28"/>
              </w:rPr>
            </w:pPr>
            <w:r>
              <w:rPr>
                <w:rFonts w:hint="eastAsia" w:ascii="仿宋_GB2312" w:hAnsi="仿宋" w:eastAsia="仿宋_GB2312" w:cs="仿宋_GB2312"/>
                <w:sz w:val="28"/>
                <w:szCs w:val="28"/>
              </w:rPr>
              <w:t xml:space="preserve">泉州市丰泽区人民政府办公室              </w:t>
            </w:r>
            <w:r>
              <w:rPr>
                <w:rFonts w:hint="eastAsia" w:ascii="仿宋_GB2312" w:eastAsia="仿宋_GB2312"/>
                <w:sz w:val="28"/>
                <w:szCs w:val="28"/>
              </w:rPr>
              <w:t>2026年8月  日印发</w:t>
            </w:r>
          </w:p>
        </w:tc>
      </w:tr>
    </w:tbl>
    <w:p w14:paraId="7E443758">
      <w:pPr>
        <w:spacing w:line="20" w:lineRule="exact"/>
      </w:pPr>
    </w:p>
    <w:p w14:paraId="13112AAA">
      <w:pPr>
        <w:overflowPunct w:val="0"/>
        <w:spacing w:line="20" w:lineRule="exact"/>
      </w:pPr>
    </w:p>
    <w:sectPr>
      <w:footerReference r:id="rId5" w:type="default"/>
      <w:type w:val="continuous"/>
      <w:pgSz w:w="11906" w:h="16838"/>
      <w:pgMar w:top="2098" w:right="1474" w:bottom="1985" w:left="1588" w:header="851" w:footer="1418"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9567614"/>
      <w:docPartObj>
        <w:docPartGallery w:val="autotext"/>
      </w:docPartObj>
    </w:sdtPr>
    <w:sdtContent>
      <w:p w14:paraId="792B5824">
        <w:pPr>
          <w:pStyle w:val="6"/>
          <w:ind w:left="315" w:leftChars="150" w:right="315" w:rightChars="150"/>
          <w:jc w:val="right"/>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13</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22813693"/>
      <w:docPartObj>
        <w:docPartGallery w:val="autotext"/>
      </w:docPartObj>
    </w:sdtPr>
    <w:sdtContent>
      <w:p w14:paraId="238D3167">
        <w:pPr>
          <w:pStyle w:val="6"/>
          <w:ind w:left="315" w:leftChars="150" w:right="315" w:rightChars="150"/>
          <w:rPr>
            <w:rFonts w:ascii="Times New Roman" w:hAnsi="Times New Roman" w:cstheme="minorBidi"/>
            <w:sz w:val="21"/>
            <w:szCs w:val="21"/>
          </w:rPr>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14</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F1039">
    <w:pPr>
      <w:pStyle w:val="6"/>
      <w:ind w:left="315" w:leftChars="150" w:right="315" w:rightChars="150"/>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D400A4"/>
    <w:multiLevelType w:val="singleLevel"/>
    <w:tmpl w:val="ACD400A4"/>
    <w:lvl w:ilvl="0" w:tentative="0">
      <w:start w:val="1"/>
      <w:numFmt w:val="decimal"/>
      <w:lvlText w:val="%1."/>
      <w:lvlJc w:val="left"/>
      <w:pPr>
        <w:tabs>
          <w:tab w:val="left" w:pos="312"/>
        </w:tabs>
      </w:pPr>
    </w:lvl>
  </w:abstractNum>
  <w:abstractNum w:abstractNumId="1">
    <w:nsid w:val="5C043E17"/>
    <w:multiLevelType w:val="singleLevel"/>
    <w:tmpl w:val="5C043E17"/>
    <w:lvl w:ilvl="0" w:tentative="0">
      <w:start w:val="5"/>
      <w:numFmt w:val="chineseCounting"/>
      <w:suff w:val="nothing"/>
      <w:lvlText w:val="（%1）"/>
      <w:lvlJc w:val="left"/>
      <w:rPr>
        <w:rFonts w:hint="eastAsia"/>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kNzViNTQxY2I4Mjg3MjdkMzEyOWEzYjA0ZDgzMTQifQ=="/>
  </w:docVars>
  <w:rsids>
    <w:rsidRoot w:val="00172A27"/>
    <w:rsid w:val="00000476"/>
    <w:rsid w:val="0000725C"/>
    <w:rsid w:val="000107C4"/>
    <w:rsid w:val="00012BE8"/>
    <w:rsid w:val="000135EA"/>
    <w:rsid w:val="00013A13"/>
    <w:rsid w:val="000152D3"/>
    <w:rsid w:val="000326C3"/>
    <w:rsid w:val="00036375"/>
    <w:rsid w:val="00040FE7"/>
    <w:rsid w:val="000436D6"/>
    <w:rsid w:val="0007019A"/>
    <w:rsid w:val="00076B12"/>
    <w:rsid w:val="00085524"/>
    <w:rsid w:val="000903AF"/>
    <w:rsid w:val="00091809"/>
    <w:rsid w:val="00095010"/>
    <w:rsid w:val="00095F6A"/>
    <w:rsid w:val="000968D0"/>
    <w:rsid w:val="00097CF8"/>
    <w:rsid w:val="000A1CFA"/>
    <w:rsid w:val="000C07EE"/>
    <w:rsid w:val="000C4746"/>
    <w:rsid w:val="000C494F"/>
    <w:rsid w:val="000D377C"/>
    <w:rsid w:val="000D76BA"/>
    <w:rsid w:val="000E1A0F"/>
    <w:rsid w:val="000E3B77"/>
    <w:rsid w:val="000E7651"/>
    <w:rsid w:val="000F0621"/>
    <w:rsid w:val="001006D2"/>
    <w:rsid w:val="001041F3"/>
    <w:rsid w:val="00105CE2"/>
    <w:rsid w:val="00111D90"/>
    <w:rsid w:val="00114657"/>
    <w:rsid w:val="00136DDA"/>
    <w:rsid w:val="00141E39"/>
    <w:rsid w:val="0014409A"/>
    <w:rsid w:val="00150027"/>
    <w:rsid w:val="001503E4"/>
    <w:rsid w:val="00164945"/>
    <w:rsid w:val="0016666C"/>
    <w:rsid w:val="00172A27"/>
    <w:rsid w:val="001759FC"/>
    <w:rsid w:val="00177A30"/>
    <w:rsid w:val="00192103"/>
    <w:rsid w:val="00192C62"/>
    <w:rsid w:val="001B18ED"/>
    <w:rsid w:val="001B4FC4"/>
    <w:rsid w:val="001C2320"/>
    <w:rsid w:val="001C31C1"/>
    <w:rsid w:val="001C5145"/>
    <w:rsid w:val="001C6FA0"/>
    <w:rsid w:val="001D251E"/>
    <w:rsid w:val="001D3F96"/>
    <w:rsid w:val="001E53A6"/>
    <w:rsid w:val="001F2E76"/>
    <w:rsid w:val="001F3C3B"/>
    <w:rsid w:val="001F5D5A"/>
    <w:rsid w:val="002021E4"/>
    <w:rsid w:val="0020430C"/>
    <w:rsid w:val="0020439A"/>
    <w:rsid w:val="00210EE4"/>
    <w:rsid w:val="00211471"/>
    <w:rsid w:val="00211555"/>
    <w:rsid w:val="002264FD"/>
    <w:rsid w:val="00247CA4"/>
    <w:rsid w:val="00264ECA"/>
    <w:rsid w:val="00271204"/>
    <w:rsid w:val="00271329"/>
    <w:rsid w:val="00273A53"/>
    <w:rsid w:val="00277187"/>
    <w:rsid w:val="00280E23"/>
    <w:rsid w:val="00282894"/>
    <w:rsid w:val="00286377"/>
    <w:rsid w:val="00291DB7"/>
    <w:rsid w:val="002A7AF2"/>
    <w:rsid w:val="002B3711"/>
    <w:rsid w:val="002B5A17"/>
    <w:rsid w:val="002C4592"/>
    <w:rsid w:val="002C64AE"/>
    <w:rsid w:val="002D56C1"/>
    <w:rsid w:val="002E5D20"/>
    <w:rsid w:val="002F3E4F"/>
    <w:rsid w:val="002F6833"/>
    <w:rsid w:val="0030490E"/>
    <w:rsid w:val="00315188"/>
    <w:rsid w:val="0031578A"/>
    <w:rsid w:val="00331667"/>
    <w:rsid w:val="003362F4"/>
    <w:rsid w:val="00336992"/>
    <w:rsid w:val="00337156"/>
    <w:rsid w:val="00344BD4"/>
    <w:rsid w:val="00347CC4"/>
    <w:rsid w:val="00352777"/>
    <w:rsid w:val="003578F7"/>
    <w:rsid w:val="00366800"/>
    <w:rsid w:val="00371842"/>
    <w:rsid w:val="003724DC"/>
    <w:rsid w:val="00372A38"/>
    <w:rsid w:val="0037342F"/>
    <w:rsid w:val="00374EAD"/>
    <w:rsid w:val="00376F1C"/>
    <w:rsid w:val="003819D8"/>
    <w:rsid w:val="0038241D"/>
    <w:rsid w:val="00383A3A"/>
    <w:rsid w:val="00384F9B"/>
    <w:rsid w:val="003948CB"/>
    <w:rsid w:val="003A5677"/>
    <w:rsid w:val="003B2D4E"/>
    <w:rsid w:val="003B520F"/>
    <w:rsid w:val="003B6B57"/>
    <w:rsid w:val="003B72F7"/>
    <w:rsid w:val="003E14D1"/>
    <w:rsid w:val="003E314B"/>
    <w:rsid w:val="003F57B1"/>
    <w:rsid w:val="00413892"/>
    <w:rsid w:val="004345D1"/>
    <w:rsid w:val="00454904"/>
    <w:rsid w:val="0047101A"/>
    <w:rsid w:val="00481AD8"/>
    <w:rsid w:val="00490F3C"/>
    <w:rsid w:val="00491FFA"/>
    <w:rsid w:val="004A0655"/>
    <w:rsid w:val="004A331B"/>
    <w:rsid w:val="004B4D82"/>
    <w:rsid w:val="004B67BC"/>
    <w:rsid w:val="004C070D"/>
    <w:rsid w:val="004C366F"/>
    <w:rsid w:val="004D0737"/>
    <w:rsid w:val="004D2AB4"/>
    <w:rsid w:val="004E3B13"/>
    <w:rsid w:val="004E3DBF"/>
    <w:rsid w:val="004E41C0"/>
    <w:rsid w:val="004F05ED"/>
    <w:rsid w:val="004F363A"/>
    <w:rsid w:val="005021F7"/>
    <w:rsid w:val="00503BE6"/>
    <w:rsid w:val="00505291"/>
    <w:rsid w:val="00505DE3"/>
    <w:rsid w:val="00514422"/>
    <w:rsid w:val="0052353D"/>
    <w:rsid w:val="005334F8"/>
    <w:rsid w:val="0053572C"/>
    <w:rsid w:val="00541483"/>
    <w:rsid w:val="00564B71"/>
    <w:rsid w:val="005676BD"/>
    <w:rsid w:val="00575ABE"/>
    <w:rsid w:val="00576175"/>
    <w:rsid w:val="00577766"/>
    <w:rsid w:val="00577DD0"/>
    <w:rsid w:val="00584813"/>
    <w:rsid w:val="0059268A"/>
    <w:rsid w:val="005A3D6F"/>
    <w:rsid w:val="005A5277"/>
    <w:rsid w:val="005B4C25"/>
    <w:rsid w:val="005B767F"/>
    <w:rsid w:val="005C3433"/>
    <w:rsid w:val="005C5D86"/>
    <w:rsid w:val="005D14C1"/>
    <w:rsid w:val="00611622"/>
    <w:rsid w:val="00623741"/>
    <w:rsid w:val="00624E13"/>
    <w:rsid w:val="00626E25"/>
    <w:rsid w:val="00626FE2"/>
    <w:rsid w:val="00632A56"/>
    <w:rsid w:val="00633A77"/>
    <w:rsid w:val="00642FE0"/>
    <w:rsid w:val="0065142C"/>
    <w:rsid w:val="00657E14"/>
    <w:rsid w:val="00661748"/>
    <w:rsid w:val="00665450"/>
    <w:rsid w:val="006759FE"/>
    <w:rsid w:val="006814F6"/>
    <w:rsid w:val="006907BA"/>
    <w:rsid w:val="006B4DDC"/>
    <w:rsid w:val="006C5663"/>
    <w:rsid w:val="006D5387"/>
    <w:rsid w:val="006D63D2"/>
    <w:rsid w:val="006E2799"/>
    <w:rsid w:val="006E5EE8"/>
    <w:rsid w:val="006F496C"/>
    <w:rsid w:val="007109A7"/>
    <w:rsid w:val="00710BC5"/>
    <w:rsid w:val="00722083"/>
    <w:rsid w:val="00722AA6"/>
    <w:rsid w:val="00735AF4"/>
    <w:rsid w:val="00736D18"/>
    <w:rsid w:val="00741438"/>
    <w:rsid w:val="00751185"/>
    <w:rsid w:val="0075236D"/>
    <w:rsid w:val="00760852"/>
    <w:rsid w:val="00761096"/>
    <w:rsid w:val="0077164F"/>
    <w:rsid w:val="007802D4"/>
    <w:rsid w:val="0078278F"/>
    <w:rsid w:val="00787021"/>
    <w:rsid w:val="00796A05"/>
    <w:rsid w:val="007B483D"/>
    <w:rsid w:val="007C08E2"/>
    <w:rsid w:val="007C29F7"/>
    <w:rsid w:val="007D27F7"/>
    <w:rsid w:val="007D40E7"/>
    <w:rsid w:val="007E3DA7"/>
    <w:rsid w:val="007F0A10"/>
    <w:rsid w:val="007F5149"/>
    <w:rsid w:val="007F66DF"/>
    <w:rsid w:val="00805E0F"/>
    <w:rsid w:val="00815D7E"/>
    <w:rsid w:val="00822DCD"/>
    <w:rsid w:val="0083767A"/>
    <w:rsid w:val="00841248"/>
    <w:rsid w:val="00841F5D"/>
    <w:rsid w:val="0084260F"/>
    <w:rsid w:val="0084308A"/>
    <w:rsid w:val="00860DE9"/>
    <w:rsid w:val="00865097"/>
    <w:rsid w:val="00867ABE"/>
    <w:rsid w:val="00870C7B"/>
    <w:rsid w:val="00880DAE"/>
    <w:rsid w:val="00885984"/>
    <w:rsid w:val="008945FD"/>
    <w:rsid w:val="008953AD"/>
    <w:rsid w:val="00897D92"/>
    <w:rsid w:val="008A33C1"/>
    <w:rsid w:val="008B2B5B"/>
    <w:rsid w:val="008B52E3"/>
    <w:rsid w:val="008B6877"/>
    <w:rsid w:val="008C7700"/>
    <w:rsid w:val="008D375C"/>
    <w:rsid w:val="008D491F"/>
    <w:rsid w:val="008E0040"/>
    <w:rsid w:val="008F0768"/>
    <w:rsid w:val="008F62C5"/>
    <w:rsid w:val="0090538E"/>
    <w:rsid w:val="009079D2"/>
    <w:rsid w:val="00915CB8"/>
    <w:rsid w:val="009175E5"/>
    <w:rsid w:val="0093641F"/>
    <w:rsid w:val="00947E36"/>
    <w:rsid w:val="0096593F"/>
    <w:rsid w:val="0096646E"/>
    <w:rsid w:val="009779E9"/>
    <w:rsid w:val="009914C4"/>
    <w:rsid w:val="00997887"/>
    <w:rsid w:val="009A6571"/>
    <w:rsid w:val="009B1529"/>
    <w:rsid w:val="009B236B"/>
    <w:rsid w:val="009B52AC"/>
    <w:rsid w:val="009C2414"/>
    <w:rsid w:val="009C6337"/>
    <w:rsid w:val="009C6B50"/>
    <w:rsid w:val="009D3474"/>
    <w:rsid w:val="009D39AF"/>
    <w:rsid w:val="009E5EE1"/>
    <w:rsid w:val="009F2EED"/>
    <w:rsid w:val="009F3F7B"/>
    <w:rsid w:val="009F6BB1"/>
    <w:rsid w:val="00A02F3E"/>
    <w:rsid w:val="00A175E2"/>
    <w:rsid w:val="00A23751"/>
    <w:rsid w:val="00A2422E"/>
    <w:rsid w:val="00A2505A"/>
    <w:rsid w:val="00A3312D"/>
    <w:rsid w:val="00A40A43"/>
    <w:rsid w:val="00A41215"/>
    <w:rsid w:val="00A442F2"/>
    <w:rsid w:val="00A44680"/>
    <w:rsid w:val="00A50573"/>
    <w:rsid w:val="00A542DB"/>
    <w:rsid w:val="00A544EC"/>
    <w:rsid w:val="00A55797"/>
    <w:rsid w:val="00A64215"/>
    <w:rsid w:val="00A66E9C"/>
    <w:rsid w:val="00A80B69"/>
    <w:rsid w:val="00A865F9"/>
    <w:rsid w:val="00A95894"/>
    <w:rsid w:val="00AC23F3"/>
    <w:rsid w:val="00AE16C8"/>
    <w:rsid w:val="00AE39A0"/>
    <w:rsid w:val="00B06256"/>
    <w:rsid w:val="00B157F5"/>
    <w:rsid w:val="00B16AFC"/>
    <w:rsid w:val="00B2064D"/>
    <w:rsid w:val="00B25B96"/>
    <w:rsid w:val="00B41D3E"/>
    <w:rsid w:val="00B52C8A"/>
    <w:rsid w:val="00B56192"/>
    <w:rsid w:val="00B63566"/>
    <w:rsid w:val="00B71E06"/>
    <w:rsid w:val="00B753AD"/>
    <w:rsid w:val="00B86784"/>
    <w:rsid w:val="00B86E0F"/>
    <w:rsid w:val="00B87A02"/>
    <w:rsid w:val="00B91036"/>
    <w:rsid w:val="00BA254E"/>
    <w:rsid w:val="00BA5695"/>
    <w:rsid w:val="00BA6B31"/>
    <w:rsid w:val="00BB6881"/>
    <w:rsid w:val="00BC7964"/>
    <w:rsid w:val="00BD0546"/>
    <w:rsid w:val="00BD54CD"/>
    <w:rsid w:val="00BE0216"/>
    <w:rsid w:val="00BF542B"/>
    <w:rsid w:val="00BF666B"/>
    <w:rsid w:val="00C01979"/>
    <w:rsid w:val="00C0296E"/>
    <w:rsid w:val="00C124C3"/>
    <w:rsid w:val="00C13650"/>
    <w:rsid w:val="00C211FE"/>
    <w:rsid w:val="00C257A6"/>
    <w:rsid w:val="00C26262"/>
    <w:rsid w:val="00C350F6"/>
    <w:rsid w:val="00C35CCE"/>
    <w:rsid w:val="00C41B5D"/>
    <w:rsid w:val="00C433DC"/>
    <w:rsid w:val="00C447F7"/>
    <w:rsid w:val="00C51589"/>
    <w:rsid w:val="00C51AD1"/>
    <w:rsid w:val="00C54F42"/>
    <w:rsid w:val="00C565BB"/>
    <w:rsid w:val="00C647CA"/>
    <w:rsid w:val="00C66B79"/>
    <w:rsid w:val="00C70A9C"/>
    <w:rsid w:val="00C77250"/>
    <w:rsid w:val="00C8719F"/>
    <w:rsid w:val="00C96D7C"/>
    <w:rsid w:val="00CB0D63"/>
    <w:rsid w:val="00CB2D22"/>
    <w:rsid w:val="00CB5C25"/>
    <w:rsid w:val="00CD056B"/>
    <w:rsid w:val="00CD1AF6"/>
    <w:rsid w:val="00CD1BD8"/>
    <w:rsid w:val="00CE6B59"/>
    <w:rsid w:val="00CF0B2A"/>
    <w:rsid w:val="00CF15E7"/>
    <w:rsid w:val="00CF34EA"/>
    <w:rsid w:val="00D00B9B"/>
    <w:rsid w:val="00D03D2A"/>
    <w:rsid w:val="00D131F4"/>
    <w:rsid w:val="00D23447"/>
    <w:rsid w:val="00D41968"/>
    <w:rsid w:val="00D4706A"/>
    <w:rsid w:val="00D52EFB"/>
    <w:rsid w:val="00D60D16"/>
    <w:rsid w:val="00D62D10"/>
    <w:rsid w:val="00D63018"/>
    <w:rsid w:val="00D66DE7"/>
    <w:rsid w:val="00D82C15"/>
    <w:rsid w:val="00D91233"/>
    <w:rsid w:val="00D93C32"/>
    <w:rsid w:val="00D93C84"/>
    <w:rsid w:val="00D96F5C"/>
    <w:rsid w:val="00DB0188"/>
    <w:rsid w:val="00DB2123"/>
    <w:rsid w:val="00DB25EB"/>
    <w:rsid w:val="00DC1220"/>
    <w:rsid w:val="00DC42D2"/>
    <w:rsid w:val="00DD1EC6"/>
    <w:rsid w:val="00DF0660"/>
    <w:rsid w:val="00DF11E0"/>
    <w:rsid w:val="00E16A10"/>
    <w:rsid w:val="00E17763"/>
    <w:rsid w:val="00E2187B"/>
    <w:rsid w:val="00E22372"/>
    <w:rsid w:val="00E23E24"/>
    <w:rsid w:val="00E24C67"/>
    <w:rsid w:val="00E31251"/>
    <w:rsid w:val="00E31B64"/>
    <w:rsid w:val="00E40FF2"/>
    <w:rsid w:val="00E41F9E"/>
    <w:rsid w:val="00E64412"/>
    <w:rsid w:val="00E6498F"/>
    <w:rsid w:val="00E90978"/>
    <w:rsid w:val="00E90D2E"/>
    <w:rsid w:val="00EA497C"/>
    <w:rsid w:val="00EB2389"/>
    <w:rsid w:val="00EC4FE1"/>
    <w:rsid w:val="00EC6BAB"/>
    <w:rsid w:val="00ED2537"/>
    <w:rsid w:val="00ED2A81"/>
    <w:rsid w:val="00ED2DB2"/>
    <w:rsid w:val="00ED59CF"/>
    <w:rsid w:val="00ED6FC9"/>
    <w:rsid w:val="00EE65C1"/>
    <w:rsid w:val="00EF3CB6"/>
    <w:rsid w:val="00F079DF"/>
    <w:rsid w:val="00F11934"/>
    <w:rsid w:val="00F13F33"/>
    <w:rsid w:val="00F1589C"/>
    <w:rsid w:val="00F2091F"/>
    <w:rsid w:val="00F2419E"/>
    <w:rsid w:val="00F26611"/>
    <w:rsid w:val="00F27E5A"/>
    <w:rsid w:val="00F33522"/>
    <w:rsid w:val="00F351D1"/>
    <w:rsid w:val="00F36A3B"/>
    <w:rsid w:val="00F445DE"/>
    <w:rsid w:val="00F54DB9"/>
    <w:rsid w:val="00F5542B"/>
    <w:rsid w:val="00F55898"/>
    <w:rsid w:val="00F56C0B"/>
    <w:rsid w:val="00F60F09"/>
    <w:rsid w:val="00F65073"/>
    <w:rsid w:val="00F77D79"/>
    <w:rsid w:val="00F807B1"/>
    <w:rsid w:val="00F86446"/>
    <w:rsid w:val="00FA1A51"/>
    <w:rsid w:val="00FA45B9"/>
    <w:rsid w:val="00FA4F8E"/>
    <w:rsid w:val="00FA7FE4"/>
    <w:rsid w:val="00FB4988"/>
    <w:rsid w:val="00FD0025"/>
    <w:rsid w:val="00FD3FFE"/>
    <w:rsid w:val="00FD6941"/>
    <w:rsid w:val="00FE0054"/>
    <w:rsid w:val="00FE0963"/>
    <w:rsid w:val="00FE22E3"/>
    <w:rsid w:val="00FE3409"/>
    <w:rsid w:val="00FE3951"/>
    <w:rsid w:val="00FE6CFF"/>
    <w:rsid w:val="00FE78BA"/>
    <w:rsid w:val="0101606E"/>
    <w:rsid w:val="01080D4D"/>
    <w:rsid w:val="010F4204"/>
    <w:rsid w:val="014F4458"/>
    <w:rsid w:val="019F3B20"/>
    <w:rsid w:val="01DD57F9"/>
    <w:rsid w:val="01FA494A"/>
    <w:rsid w:val="01FB2A86"/>
    <w:rsid w:val="021C08AD"/>
    <w:rsid w:val="023022BD"/>
    <w:rsid w:val="026B30B6"/>
    <w:rsid w:val="02B93D3A"/>
    <w:rsid w:val="0347606B"/>
    <w:rsid w:val="034D00B9"/>
    <w:rsid w:val="035163EA"/>
    <w:rsid w:val="040D0264"/>
    <w:rsid w:val="042A3EE7"/>
    <w:rsid w:val="04312F63"/>
    <w:rsid w:val="043A2075"/>
    <w:rsid w:val="04845141"/>
    <w:rsid w:val="04A82BB7"/>
    <w:rsid w:val="04D2638B"/>
    <w:rsid w:val="050F35E3"/>
    <w:rsid w:val="0536684E"/>
    <w:rsid w:val="05380787"/>
    <w:rsid w:val="053D6893"/>
    <w:rsid w:val="054F2450"/>
    <w:rsid w:val="05861C76"/>
    <w:rsid w:val="05A90905"/>
    <w:rsid w:val="05B81AF2"/>
    <w:rsid w:val="064D5C1A"/>
    <w:rsid w:val="06714259"/>
    <w:rsid w:val="06880DA6"/>
    <w:rsid w:val="069578F1"/>
    <w:rsid w:val="06C6392F"/>
    <w:rsid w:val="070B051A"/>
    <w:rsid w:val="0729404B"/>
    <w:rsid w:val="07406C38"/>
    <w:rsid w:val="07653703"/>
    <w:rsid w:val="077D34B7"/>
    <w:rsid w:val="07A248DE"/>
    <w:rsid w:val="07F7563C"/>
    <w:rsid w:val="080D7119"/>
    <w:rsid w:val="082411A7"/>
    <w:rsid w:val="082F7FBE"/>
    <w:rsid w:val="087E2E02"/>
    <w:rsid w:val="08D20A92"/>
    <w:rsid w:val="08D43F5F"/>
    <w:rsid w:val="08F53ED9"/>
    <w:rsid w:val="08F75D7F"/>
    <w:rsid w:val="09024800"/>
    <w:rsid w:val="091B17D7"/>
    <w:rsid w:val="095533B0"/>
    <w:rsid w:val="096E4BCD"/>
    <w:rsid w:val="0982598E"/>
    <w:rsid w:val="09C46172"/>
    <w:rsid w:val="0A323402"/>
    <w:rsid w:val="0A7260DF"/>
    <w:rsid w:val="0A935B8D"/>
    <w:rsid w:val="0AB5299F"/>
    <w:rsid w:val="0AD15964"/>
    <w:rsid w:val="0AE46B17"/>
    <w:rsid w:val="0B047208"/>
    <w:rsid w:val="0B1151BF"/>
    <w:rsid w:val="0B1F6AEA"/>
    <w:rsid w:val="0B574AD7"/>
    <w:rsid w:val="0B5F3D37"/>
    <w:rsid w:val="0B9604F9"/>
    <w:rsid w:val="0B9B66C2"/>
    <w:rsid w:val="0C1C5552"/>
    <w:rsid w:val="0C735F82"/>
    <w:rsid w:val="0C74653B"/>
    <w:rsid w:val="0CA23E35"/>
    <w:rsid w:val="0D2F3341"/>
    <w:rsid w:val="0D3D5404"/>
    <w:rsid w:val="0D697B46"/>
    <w:rsid w:val="0D702868"/>
    <w:rsid w:val="0DCC44D5"/>
    <w:rsid w:val="0E222094"/>
    <w:rsid w:val="0E47092B"/>
    <w:rsid w:val="0E560C3E"/>
    <w:rsid w:val="0E8C2123"/>
    <w:rsid w:val="0E925A0E"/>
    <w:rsid w:val="0EAA632A"/>
    <w:rsid w:val="0EEF2F13"/>
    <w:rsid w:val="0EFF5439"/>
    <w:rsid w:val="0F526B97"/>
    <w:rsid w:val="0F5F6F25"/>
    <w:rsid w:val="0F6A7307"/>
    <w:rsid w:val="0F7B41AF"/>
    <w:rsid w:val="0F8F5500"/>
    <w:rsid w:val="0FA560CB"/>
    <w:rsid w:val="0FC25219"/>
    <w:rsid w:val="0FCB1DB6"/>
    <w:rsid w:val="0FCE2FD9"/>
    <w:rsid w:val="10A838C3"/>
    <w:rsid w:val="10B13C11"/>
    <w:rsid w:val="10BD5F84"/>
    <w:rsid w:val="10F667AF"/>
    <w:rsid w:val="10F75A0C"/>
    <w:rsid w:val="11E80668"/>
    <w:rsid w:val="11FE0CFE"/>
    <w:rsid w:val="12032EC0"/>
    <w:rsid w:val="121360D8"/>
    <w:rsid w:val="122D527E"/>
    <w:rsid w:val="12415A1A"/>
    <w:rsid w:val="12594441"/>
    <w:rsid w:val="127C72A4"/>
    <w:rsid w:val="12901132"/>
    <w:rsid w:val="129834C8"/>
    <w:rsid w:val="12CD5D4E"/>
    <w:rsid w:val="12CF4646"/>
    <w:rsid w:val="12EB1842"/>
    <w:rsid w:val="13196DE8"/>
    <w:rsid w:val="13612C58"/>
    <w:rsid w:val="136160EC"/>
    <w:rsid w:val="13781870"/>
    <w:rsid w:val="13AE59ED"/>
    <w:rsid w:val="13C127C8"/>
    <w:rsid w:val="13D3500C"/>
    <w:rsid w:val="13E26635"/>
    <w:rsid w:val="13E91D39"/>
    <w:rsid w:val="14193A07"/>
    <w:rsid w:val="142A3513"/>
    <w:rsid w:val="14367285"/>
    <w:rsid w:val="144E09DA"/>
    <w:rsid w:val="14650F6A"/>
    <w:rsid w:val="148175A3"/>
    <w:rsid w:val="14A1606E"/>
    <w:rsid w:val="15052628"/>
    <w:rsid w:val="1513315B"/>
    <w:rsid w:val="15185E59"/>
    <w:rsid w:val="15384ACC"/>
    <w:rsid w:val="15914FDB"/>
    <w:rsid w:val="159A3CCD"/>
    <w:rsid w:val="15D21547"/>
    <w:rsid w:val="15F35405"/>
    <w:rsid w:val="15F925EF"/>
    <w:rsid w:val="16167377"/>
    <w:rsid w:val="16633610"/>
    <w:rsid w:val="16843E45"/>
    <w:rsid w:val="16AC2E98"/>
    <w:rsid w:val="16B91ADF"/>
    <w:rsid w:val="1709010D"/>
    <w:rsid w:val="172021FD"/>
    <w:rsid w:val="173B1E7C"/>
    <w:rsid w:val="18053AB7"/>
    <w:rsid w:val="182023E3"/>
    <w:rsid w:val="18231EC9"/>
    <w:rsid w:val="182F2F3F"/>
    <w:rsid w:val="183F1F9D"/>
    <w:rsid w:val="186C19E3"/>
    <w:rsid w:val="188840BA"/>
    <w:rsid w:val="188F17E2"/>
    <w:rsid w:val="18940B4E"/>
    <w:rsid w:val="189838D8"/>
    <w:rsid w:val="18C869CA"/>
    <w:rsid w:val="18E7373A"/>
    <w:rsid w:val="18F16B6A"/>
    <w:rsid w:val="1902063B"/>
    <w:rsid w:val="196660EC"/>
    <w:rsid w:val="19C57A1B"/>
    <w:rsid w:val="19D35A3A"/>
    <w:rsid w:val="1A131C1F"/>
    <w:rsid w:val="1A170992"/>
    <w:rsid w:val="1A686446"/>
    <w:rsid w:val="1A78277E"/>
    <w:rsid w:val="1A7F3DDB"/>
    <w:rsid w:val="1AA1413A"/>
    <w:rsid w:val="1ADA23CB"/>
    <w:rsid w:val="1AF267D6"/>
    <w:rsid w:val="1AFC1190"/>
    <w:rsid w:val="1B6F54BE"/>
    <w:rsid w:val="1BDD6737"/>
    <w:rsid w:val="1CC11E1D"/>
    <w:rsid w:val="1CC52ED3"/>
    <w:rsid w:val="1CEB56F1"/>
    <w:rsid w:val="1CF35512"/>
    <w:rsid w:val="1CFC34A3"/>
    <w:rsid w:val="1D1A0A3E"/>
    <w:rsid w:val="1D430D27"/>
    <w:rsid w:val="1D5624CC"/>
    <w:rsid w:val="1D9A2031"/>
    <w:rsid w:val="1E1511FF"/>
    <w:rsid w:val="1E203E06"/>
    <w:rsid w:val="1E845D8D"/>
    <w:rsid w:val="1E8B7FE0"/>
    <w:rsid w:val="1EB06012"/>
    <w:rsid w:val="1EBD0318"/>
    <w:rsid w:val="1F28125E"/>
    <w:rsid w:val="1F4D30CA"/>
    <w:rsid w:val="1F836D1B"/>
    <w:rsid w:val="1F965963"/>
    <w:rsid w:val="1FB9486E"/>
    <w:rsid w:val="1FCD4166"/>
    <w:rsid w:val="201067E0"/>
    <w:rsid w:val="20457A52"/>
    <w:rsid w:val="20A27F75"/>
    <w:rsid w:val="20A41B2E"/>
    <w:rsid w:val="20BE696C"/>
    <w:rsid w:val="20D42EBD"/>
    <w:rsid w:val="20D96F75"/>
    <w:rsid w:val="20E40D42"/>
    <w:rsid w:val="20F2775C"/>
    <w:rsid w:val="215D4DCD"/>
    <w:rsid w:val="218142FF"/>
    <w:rsid w:val="21B016FD"/>
    <w:rsid w:val="21BC199E"/>
    <w:rsid w:val="21DE57AD"/>
    <w:rsid w:val="21FD467F"/>
    <w:rsid w:val="22170D38"/>
    <w:rsid w:val="222F4C33"/>
    <w:rsid w:val="22A33F04"/>
    <w:rsid w:val="22A453F2"/>
    <w:rsid w:val="22D00818"/>
    <w:rsid w:val="22DD1827"/>
    <w:rsid w:val="23000613"/>
    <w:rsid w:val="230B5E6A"/>
    <w:rsid w:val="23263C9E"/>
    <w:rsid w:val="23267E13"/>
    <w:rsid w:val="2327590D"/>
    <w:rsid w:val="23445A33"/>
    <w:rsid w:val="23827137"/>
    <w:rsid w:val="239578DA"/>
    <w:rsid w:val="23976337"/>
    <w:rsid w:val="23CB5BA3"/>
    <w:rsid w:val="23F34386"/>
    <w:rsid w:val="24141073"/>
    <w:rsid w:val="241A3478"/>
    <w:rsid w:val="241D3084"/>
    <w:rsid w:val="242261A2"/>
    <w:rsid w:val="243145DE"/>
    <w:rsid w:val="248435BC"/>
    <w:rsid w:val="248655F9"/>
    <w:rsid w:val="24A53616"/>
    <w:rsid w:val="24CA0E58"/>
    <w:rsid w:val="24CD2105"/>
    <w:rsid w:val="25107EA9"/>
    <w:rsid w:val="25240875"/>
    <w:rsid w:val="2553265A"/>
    <w:rsid w:val="255B5645"/>
    <w:rsid w:val="25602EA8"/>
    <w:rsid w:val="25A260B1"/>
    <w:rsid w:val="25BB6C62"/>
    <w:rsid w:val="25C20BC6"/>
    <w:rsid w:val="25EA0682"/>
    <w:rsid w:val="260648B1"/>
    <w:rsid w:val="264F6A74"/>
    <w:rsid w:val="265134D5"/>
    <w:rsid w:val="265B77A6"/>
    <w:rsid w:val="266732FC"/>
    <w:rsid w:val="26D80290"/>
    <w:rsid w:val="26DB5F5F"/>
    <w:rsid w:val="26F66C05"/>
    <w:rsid w:val="27135292"/>
    <w:rsid w:val="27222472"/>
    <w:rsid w:val="272A0753"/>
    <w:rsid w:val="27430F80"/>
    <w:rsid w:val="2749011A"/>
    <w:rsid w:val="27705D03"/>
    <w:rsid w:val="27AB444C"/>
    <w:rsid w:val="27CB5D73"/>
    <w:rsid w:val="27F7621F"/>
    <w:rsid w:val="27F772FA"/>
    <w:rsid w:val="28404318"/>
    <w:rsid w:val="28642123"/>
    <w:rsid w:val="288E0874"/>
    <w:rsid w:val="28CA3E67"/>
    <w:rsid w:val="28D21708"/>
    <w:rsid w:val="28D7331D"/>
    <w:rsid w:val="293151C9"/>
    <w:rsid w:val="294016D1"/>
    <w:rsid w:val="298735F2"/>
    <w:rsid w:val="2989114F"/>
    <w:rsid w:val="298E467D"/>
    <w:rsid w:val="29C27A8F"/>
    <w:rsid w:val="2A485C4C"/>
    <w:rsid w:val="2A525CE1"/>
    <w:rsid w:val="2A5F76EF"/>
    <w:rsid w:val="2AA0019A"/>
    <w:rsid w:val="2AE3562F"/>
    <w:rsid w:val="2B013C59"/>
    <w:rsid w:val="2B4D4AA1"/>
    <w:rsid w:val="2B4F62DC"/>
    <w:rsid w:val="2B4F7546"/>
    <w:rsid w:val="2B507B61"/>
    <w:rsid w:val="2B8770B7"/>
    <w:rsid w:val="2B8C2702"/>
    <w:rsid w:val="2BAE7579"/>
    <w:rsid w:val="2BE75544"/>
    <w:rsid w:val="2BF251F3"/>
    <w:rsid w:val="2C031734"/>
    <w:rsid w:val="2C0677E6"/>
    <w:rsid w:val="2C104BF2"/>
    <w:rsid w:val="2C3336AD"/>
    <w:rsid w:val="2C5013A5"/>
    <w:rsid w:val="2C6746C6"/>
    <w:rsid w:val="2C8F6F15"/>
    <w:rsid w:val="2C974D7F"/>
    <w:rsid w:val="2C9E2640"/>
    <w:rsid w:val="2CAC2C4D"/>
    <w:rsid w:val="2CB93413"/>
    <w:rsid w:val="2CB938C7"/>
    <w:rsid w:val="2CF9630B"/>
    <w:rsid w:val="2D654845"/>
    <w:rsid w:val="2D6B7B61"/>
    <w:rsid w:val="2DA775A3"/>
    <w:rsid w:val="2DB53138"/>
    <w:rsid w:val="2DD47C41"/>
    <w:rsid w:val="2E14728F"/>
    <w:rsid w:val="2E2524F4"/>
    <w:rsid w:val="2E56470A"/>
    <w:rsid w:val="2E5F1C45"/>
    <w:rsid w:val="2E8A625D"/>
    <w:rsid w:val="2EAD417D"/>
    <w:rsid w:val="2EB72548"/>
    <w:rsid w:val="2ECA78E9"/>
    <w:rsid w:val="2EFE45A3"/>
    <w:rsid w:val="2F0064D3"/>
    <w:rsid w:val="2F1454EE"/>
    <w:rsid w:val="2F1E06EF"/>
    <w:rsid w:val="2F467C38"/>
    <w:rsid w:val="2F5D70E9"/>
    <w:rsid w:val="2F652239"/>
    <w:rsid w:val="2F7A73FD"/>
    <w:rsid w:val="302A5372"/>
    <w:rsid w:val="305F1963"/>
    <w:rsid w:val="306116E9"/>
    <w:rsid w:val="308D1D0A"/>
    <w:rsid w:val="30917911"/>
    <w:rsid w:val="30C537FF"/>
    <w:rsid w:val="30C83883"/>
    <w:rsid w:val="30CE4739"/>
    <w:rsid w:val="30DA4CEB"/>
    <w:rsid w:val="30E908EC"/>
    <w:rsid w:val="30EA0C35"/>
    <w:rsid w:val="30ED65D7"/>
    <w:rsid w:val="310A0071"/>
    <w:rsid w:val="310A09A9"/>
    <w:rsid w:val="310F6A01"/>
    <w:rsid w:val="312D62FD"/>
    <w:rsid w:val="3195762F"/>
    <w:rsid w:val="31AE0B08"/>
    <w:rsid w:val="31AF647D"/>
    <w:rsid w:val="31D82564"/>
    <w:rsid w:val="32866104"/>
    <w:rsid w:val="32AA40AB"/>
    <w:rsid w:val="32B41D73"/>
    <w:rsid w:val="32CA3537"/>
    <w:rsid w:val="32F24E93"/>
    <w:rsid w:val="330B6BB8"/>
    <w:rsid w:val="3322425E"/>
    <w:rsid w:val="33544851"/>
    <w:rsid w:val="33674E69"/>
    <w:rsid w:val="337950AA"/>
    <w:rsid w:val="33A6448A"/>
    <w:rsid w:val="33C64B5A"/>
    <w:rsid w:val="33F76A56"/>
    <w:rsid w:val="341466A6"/>
    <w:rsid w:val="34525669"/>
    <w:rsid w:val="34556863"/>
    <w:rsid w:val="345C520E"/>
    <w:rsid w:val="3464796B"/>
    <w:rsid w:val="347E6F9C"/>
    <w:rsid w:val="34A10B71"/>
    <w:rsid w:val="34B551C7"/>
    <w:rsid w:val="34B63563"/>
    <w:rsid w:val="34C03414"/>
    <w:rsid w:val="34CB77F0"/>
    <w:rsid w:val="34EB4C6A"/>
    <w:rsid w:val="35BF46C8"/>
    <w:rsid w:val="35C74CA2"/>
    <w:rsid w:val="35DD2310"/>
    <w:rsid w:val="361C28D4"/>
    <w:rsid w:val="36315D3A"/>
    <w:rsid w:val="36460630"/>
    <w:rsid w:val="365F7F53"/>
    <w:rsid w:val="36835065"/>
    <w:rsid w:val="36EC002E"/>
    <w:rsid w:val="36F3029A"/>
    <w:rsid w:val="377C5902"/>
    <w:rsid w:val="378C2F44"/>
    <w:rsid w:val="37B64948"/>
    <w:rsid w:val="37C00B89"/>
    <w:rsid w:val="37D35FC7"/>
    <w:rsid w:val="38207129"/>
    <w:rsid w:val="38474CC1"/>
    <w:rsid w:val="38597184"/>
    <w:rsid w:val="388F3713"/>
    <w:rsid w:val="38A00912"/>
    <w:rsid w:val="38E95063"/>
    <w:rsid w:val="391A3C8F"/>
    <w:rsid w:val="39265E64"/>
    <w:rsid w:val="39284F6A"/>
    <w:rsid w:val="392B59F0"/>
    <w:rsid w:val="3961503A"/>
    <w:rsid w:val="39627B5E"/>
    <w:rsid w:val="39CB324D"/>
    <w:rsid w:val="39FA5CBD"/>
    <w:rsid w:val="39FB3AD3"/>
    <w:rsid w:val="3A121DD6"/>
    <w:rsid w:val="3A3958FC"/>
    <w:rsid w:val="3A5A1787"/>
    <w:rsid w:val="3A644A25"/>
    <w:rsid w:val="3AAA297B"/>
    <w:rsid w:val="3AAC2DFF"/>
    <w:rsid w:val="3ACE50E8"/>
    <w:rsid w:val="3AF76AF3"/>
    <w:rsid w:val="3B217E51"/>
    <w:rsid w:val="3B4E2FFA"/>
    <w:rsid w:val="3BC22CB0"/>
    <w:rsid w:val="3BD83F48"/>
    <w:rsid w:val="3BE203D8"/>
    <w:rsid w:val="3BFA69B4"/>
    <w:rsid w:val="3C265BB1"/>
    <w:rsid w:val="3C344C7C"/>
    <w:rsid w:val="3C553609"/>
    <w:rsid w:val="3C841C0D"/>
    <w:rsid w:val="3CB64187"/>
    <w:rsid w:val="3CC53555"/>
    <w:rsid w:val="3CE1553C"/>
    <w:rsid w:val="3CE87DA9"/>
    <w:rsid w:val="3CEF1E69"/>
    <w:rsid w:val="3CFD619E"/>
    <w:rsid w:val="3D6C5FEB"/>
    <w:rsid w:val="3D8B3268"/>
    <w:rsid w:val="3D8D6106"/>
    <w:rsid w:val="3DBB2702"/>
    <w:rsid w:val="3DDA7F70"/>
    <w:rsid w:val="3DF01DF9"/>
    <w:rsid w:val="3DF9132B"/>
    <w:rsid w:val="3E0E3FD2"/>
    <w:rsid w:val="3E101C2E"/>
    <w:rsid w:val="3E495BEB"/>
    <w:rsid w:val="3E577364"/>
    <w:rsid w:val="3E5E061C"/>
    <w:rsid w:val="3E7A405F"/>
    <w:rsid w:val="3E8E3F96"/>
    <w:rsid w:val="3EA12F34"/>
    <w:rsid w:val="3EA16EFA"/>
    <w:rsid w:val="3EAC177E"/>
    <w:rsid w:val="3EE24C28"/>
    <w:rsid w:val="3EE53D6E"/>
    <w:rsid w:val="3EF172A5"/>
    <w:rsid w:val="3F0C19CA"/>
    <w:rsid w:val="3F0C5E2D"/>
    <w:rsid w:val="3F112FB0"/>
    <w:rsid w:val="3F3D68EA"/>
    <w:rsid w:val="3F3F55E0"/>
    <w:rsid w:val="3F423EB9"/>
    <w:rsid w:val="3FA40867"/>
    <w:rsid w:val="404F3688"/>
    <w:rsid w:val="407A1257"/>
    <w:rsid w:val="40864790"/>
    <w:rsid w:val="409662E1"/>
    <w:rsid w:val="40D70796"/>
    <w:rsid w:val="40D72FCA"/>
    <w:rsid w:val="40D85AB4"/>
    <w:rsid w:val="40E64B8B"/>
    <w:rsid w:val="40E65824"/>
    <w:rsid w:val="40FC16A0"/>
    <w:rsid w:val="411D0373"/>
    <w:rsid w:val="412F731A"/>
    <w:rsid w:val="413741A3"/>
    <w:rsid w:val="413B4B22"/>
    <w:rsid w:val="4156438E"/>
    <w:rsid w:val="41DC0CBA"/>
    <w:rsid w:val="42077564"/>
    <w:rsid w:val="421E26B8"/>
    <w:rsid w:val="42232729"/>
    <w:rsid w:val="427B20EB"/>
    <w:rsid w:val="42AA07B9"/>
    <w:rsid w:val="42B45BCA"/>
    <w:rsid w:val="42CB0C4D"/>
    <w:rsid w:val="42E26D44"/>
    <w:rsid w:val="43027007"/>
    <w:rsid w:val="431922AA"/>
    <w:rsid w:val="432109D1"/>
    <w:rsid w:val="4337397A"/>
    <w:rsid w:val="435450F0"/>
    <w:rsid w:val="437026D5"/>
    <w:rsid w:val="437C55BE"/>
    <w:rsid w:val="444110F0"/>
    <w:rsid w:val="445056F8"/>
    <w:rsid w:val="445F3B6F"/>
    <w:rsid w:val="447228E4"/>
    <w:rsid w:val="448F3B4C"/>
    <w:rsid w:val="453D0110"/>
    <w:rsid w:val="45562E40"/>
    <w:rsid w:val="46450F03"/>
    <w:rsid w:val="46460917"/>
    <w:rsid w:val="467F3A07"/>
    <w:rsid w:val="46BE16FE"/>
    <w:rsid w:val="46C81954"/>
    <w:rsid w:val="46D1771D"/>
    <w:rsid w:val="4703102D"/>
    <w:rsid w:val="47156D1F"/>
    <w:rsid w:val="472919F1"/>
    <w:rsid w:val="475E670F"/>
    <w:rsid w:val="476B524E"/>
    <w:rsid w:val="47707E95"/>
    <w:rsid w:val="478309F3"/>
    <w:rsid w:val="47A670BB"/>
    <w:rsid w:val="47AD3A1E"/>
    <w:rsid w:val="47CE2197"/>
    <w:rsid w:val="47D02526"/>
    <w:rsid w:val="47EB1A8D"/>
    <w:rsid w:val="480C5473"/>
    <w:rsid w:val="48744BEB"/>
    <w:rsid w:val="4895371D"/>
    <w:rsid w:val="48A06C07"/>
    <w:rsid w:val="48C95853"/>
    <w:rsid w:val="49284D63"/>
    <w:rsid w:val="497C624A"/>
    <w:rsid w:val="49BE6EF0"/>
    <w:rsid w:val="49D17627"/>
    <w:rsid w:val="49E72125"/>
    <w:rsid w:val="4A4E6862"/>
    <w:rsid w:val="4AF03B80"/>
    <w:rsid w:val="4B110D25"/>
    <w:rsid w:val="4B412124"/>
    <w:rsid w:val="4B4B2FA2"/>
    <w:rsid w:val="4B6C7C6E"/>
    <w:rsid w:val="4BA24932"/>
    <w:rsid w:val="4BBE3E24"/>
    <w:rsid w:val="4BD408EE"/>
    <w:rsid w:val="4BE16212"/>
    <w:rsid w:val="4C215E0A"/>
    <w:rsid w:val="4C2777BA"/>
    <w:rsid w:val="4CA744C7"/>
    <w:rsid w:val="4CAD2665"/>
    <w:rsid w:val="4CDA67AC"/>
    <w:rsid w:val="4CFA3727"/>
    <w:rsid w:val="4D19666C"/>
    <w:rsid w:val="4D241FAB"/>
    <w:rsid w:val="4D71599E"/>
    <w:rsid w:val="4DBF383E"/>
    <w:rsid w:val="4DFA1959"/>
    <w:rsid w:val="4E1B360D"/>
    <w:rsid w:val="4E1E1B27"/>
    <w:rsid w:val="4E253260"/>
    <w:rsid w:val="4E4D0088"/>
    <w:rsid w:val="4E7A5E79"/>
    <w:rsid w:val="4F270856"/>
    <w:rsid w:val="4F482265"/>
    <w:rsid w:val="4FB41ACE"/>
    <w:rsid w:val="4FF962DF"/>
    <w:rsid w:val="50161D7A"/>
    <w:rsid w:val="50190A2C"/>
    <w:rsid w:val="503E0E60"/>
    <w:rsid w:val="5066064F"/>
    <w:rsid w:val="508B7B0D"/>
    <w:rsid w:val="509320D4"/>
    <w:rsid w:val="50A03D03"/>
    <w:rsid w:val="50B063D5"/>
    <w:rsid w:val="50C812A3"/>
    <w:rsid w:val="50CF581B"/>
    <w:rsid w:val="50E04EA2"/>
    <w:rsid w:val="51206094"/>
    <w:rsid w:val="512124C3"/>
    <w:rsid w:val="51D03D5F"/>
    <w:rsid w:val="51DA1C25"/>
    <w:rsid w:val="5208286A"/>
    <w:rsid w:val="52427432"/>
    <w:rsid w:val="52450094"/>
    <w:rsid w:val="52510A0B"/>
    <w:rsid w:val="52545168"/>
    <w:rsid w:val="525D5463"/>
    <w:rsid w:val="529E0291"/>
    <w:rsid w:val="52F05F12"/>
    <w:rsid w:val="5356492A"/>
    <w:rsid w:val="53AF5F4A"/>
    <w:rsid w:val="53B36B8F"/>
    <w:rsid w:val="53BC09E6"/>
    <w:rsid w:val="53FF7509"/>
    <w:rsid w:val="54036594"/>
    <w:rsid w:val="54127DF9"/>
    <w:rsid w:val="541B4188"/>
    <w:rsid w:val="543E1D5C"/>
    <w:rsid w:val="54556875"/>
    <w:rsid w:val="546649A9"/>
    <w:rsid w:val="54AE69E7"/>
    <w:rsid w:val="55213FC1"/>
    <w:rsid w:val="5541192D"/>
    <w:rsid w:val="55456BC8"/>
    <w:rsid w:val="5590036C"/>
    <w:rsid w:val="55977F4A"/>
    <w:rsid w:val="55A87B2E"/>
    <w:rsid w:val="55C2197A"/>
    <w:rsid w:val="55EF4E8E"/>
    <w:rsid w:val="562E5F69"/>
    <w:rsid w:val="56470945"/>
    <w:rsid w:val="564C4823"/>
    <w:rsid w:val="56BB1258"/>
    <w:rsid w:val="56DE6924"/>
    <w:rsid w:val="57122A74"/>
    <w:rsid w:val="574E6C40"/>
    <w:rsid w:val="57E31219"/>
    <w:rsid w:val="58090967"/>
    <w:rsid w:val="58DA4607"/>
    <w:rsid w:val="58F65E2C"/>
    <w:rsid w:val="59240744"/>
    <w:rsid w:val="595F7590"/>
    <w:rsid w:val="59B53E5E"/>
    <w:rsid w:val="59F06EEC"/>
    <w:rsid w:val="59FF279B"/>
    <w:rsid w:val="59FF38D6"/>
    <w:rsid w:val="5A220C59"/>
    <w:rsid w:val="5A573722"/>
    <w:rsid w:val="5A6802EE"/>
    <w:rsid w:val="5A6A39D1"/>
    <w:rsid w:val="5A6F5E9D"/>
    <w:rsid w:val="5A7E0950"/>
    <w:rsid w:val="5A8807DC"/>
    <w:rsid w:val="5A91603F"/>
    <w:rsid w:val="5AA65993"/>
    <w:rsid w:val="5AC2018B"/>
    <w:rsid w:val="5ACB0294"/>
    <w:rsid w:val="5ACD29D6"/>
    <w:rsid w:val="5B003AC5"/>
    <w:rsid w:val="5B531AD3"/>
    <w:rsid w:val="5B8712DB"/>
    <w:rsid w:val="5BE950C8"/>
    <w:rsid w:val="5BEE6C2C"/>
    <w:rsid w:val="5C2C433C"/>
    <w:rsid w:val="5C506770"/>
    <w:rsid w:val="5C5961D3"/>
    <w:rsid w:val="5C697991"/>
    <w:rsid w:val="5C813AB7"/>
    <w:rsid w:val="5CC8761A"/>
    <w:rsid w:val="5CCD4A39"/>
    <w:rsid w:val="5CEF486B"/>
    <w:rsid w:val="5D2F0406"/>
    <w:rsid w:val="5D671CB6"/>
    <w:rsid w:val="5D7A56C2"/>
    <w:rsid w:val="5DB060D1"/>
    <w:rsid w:val="5DE52DE2"/>
    <w:rsid w:val="5DE71411"/>
    <w:rsid w:val="5E0F5CAA"/>
    <w:rsid w:val="5E705701"/>
    <w:rsid w:val="5E926763"/>
    <w:rsid w:val="5F1E3DCB"/>
    <w:rsid w:val="5F3D5E55"/>
    <w:rsid w:val="5F874639"/>
    <w:rsid w:val="5FB305B7"/>
    <w:rsid w:val="5FB74E0E"/>
    <w:rsid w:val="5FC361D8"/>
    <w:rsid w:val="5FF22D33"/>
    <w:rsid w:val="60111118"/>
    <w:rsid w:val="60267DB3"/>
    <w:rsid w:val="60344448"/>
    <w:rsid w:val="60864153"/>
    <w:rsid w:val="60AF3760"/>
    <w:rsid w:val="60E77ACF"/>
    <w:rsid w:val="60F401BC"/>
    <w:rsid w:val="60F81265"/>
    <w:rsid w:val="610F442F"/>
    <w:rsid w:val="615173FA"/>
    <w:rsid w:val="61641A5A"/>
    <w:rsid w:val="620C2869"/>
    <w:rsid w:val="624C1A82"/>
    <w:rsid w:val="62511AFF"/>
    <w:rsid w:val="625851A3"/>
    <w:rsid w:val="627F4F9D"/>
    <w:rsid w:val="62B0539C"/>
    <w:rsid w:val="62C016C7"/>
    <w:rsid w:val="62DE6B70"/>
    <w:rsid w:val="62EC1442"/>
    <w:rsid w:val="63424664"/>
    <w:rsid w:val="63650A96"/>
    <w:rsid w:val="63F90CB7"/>
    <w:rsid w:val="6428546A"/>
    <w:rsid w:val="642C3481"/>
    <w:rsid w:val="64462EEA"/>
    <w:rsid w:val="648F570A"/>
    <w:rsid w:val="64A44D6A"/>
    <w:rsid w:val="64C651B1"/>
    <w:rsid w:val="64E12F37"/>
    <w:rsid w:val="64F02370"/>
    <w:rsid w:val="65100A22"/>
    <w:rsid w:val="651B1701"/>
    <w:rsid w:val="651D12BD"/>
    <w:rsid w:val="6538143C"/>
    <w:rsid w:val="658073CA"/>
    <w:rsid w:val="65927935"/>
    <w:rsid w:val="65DD619C"/>
    <w:rsid w:val="66531053"/>
    <w:rsid w:val="665D119C"/>
    <w:rsid w:val="667C1E0A"/>
    <w:rsid w:val="66ED275D"/>
    <w:rsid w:val="66F94EFF"/>
    <w:rsid w:val="6720647C"/>
    <w:rsid w:val="67A90A09"/>
    <w:rsid w:val="67B75153"/>
    <w:rsid w:val="67C13ACC"/>
    <w:rsid w:val="68321FA8"/>
    <w:rsid w:val="683703BA"/>
    <w:rsid w:val="68B7673E"/>
    <w:rsid w:val="68C31F72"/>
    <w:rsid w:val="68C647F1"/>
    <w:rsid w:val="68C67433"/>
    <w:rsid w:val="68C95EDF"/>
    <w:rsid w:val="68DC5BB2"/>
    <w:rsid w:val="68EC30A8"/>
    <w:rsid w:val="692278EB"/>
    <w:rsid w:val="69246CFC"/>
    <w:rsid w:val="69885DEF"/>
    <w:rsid w:val="699B3398"/>
    <w:rsid w:val="69F94431"/>
    <w:rsid w:val="6A122162"/>
    <w:rsid w:val="6A320F55"/>
    <w:rsid w:val="6A3978B3"/>
    <w:rsid w:val="6A5665D1"/>
    <w:rsid w:val="6A8D00EE"/>
    <w:rsid w:val="6A91149B"/>
    <w:rsid w:val="6ACF3ACC"/>
    <w:rsid w:val="6B6E26E9"/>
    <w:rsid w:val="6B7A7DE1"/>
    <w:rsid w:val="6B9B23F6"/>
    <w:rsid w:val="6BBD6CF8"/>
    <w:rsid w:val="6BC37F70"/>
    <w:rsid w:val="6BDC47B9"/>
    <w:rsid w:val="6BF72621"/>
    <w:rsid w:val="6C2351F4"/>
    <w:rsid w:val="6C421A63"/>
    <w:rsid w:val="6C4E3212"/>
    <w:rsid w:val="6C622252"/>
    <w:rsid w:val="6C7A54C2"/>
    <w:rsid w:val="6C9C2F3E"/>
    <w:rsid w:val="6CA315AC"/>
    <w:rsid w:val="6CDE1C1C"/>
    <w:rsid w:val="6D113283"/>
    <w:rsid w:val="6D6467F6"/>
    <w:rsid w:val="6D8B2030"/>
    <w:rsid w:val="6DE44FA3"/>
    <w:rsid w:val="6DE4567E"/>
    <w:rsid w:val="6DEC00E5"/>
    <w:rsid w:val="6E086B91"/>
    <w:rsid w:val="6E8845D5"/>
    <w:rsid w:val="6EA54E82"/>
    <w:rsid w:val="6EBD0EE2"/>
    <w:rsid w:val="6ECA7EA6"/>
    <w:rsid w:val="6F171F15"/>
    <w:rsid w:val="6F421C75"/>
    <w:rsid w:val="6F493D81"/>
    <w:rsid w:val="6F657E19"/>
    <w:rsid w:val="6F6B7EC1"/>
    <w:rsid w:val="6F7B4028"/>
    <w:rsid w:val="6FBB2731"/>
    <w:rsid w:val="6FDF24A7"/>
    <w:rsid w:val="6FE0165C"/>
    <w:rsid w:val="702912C0"/>
    <w:rsid w:val="70310109"/>
    <w:rsid w:val="70314436"/>
    <w:rsid w:val="707B42D2"/>
    <w:rsid w:val="70C3487D"/>
    <w:rsid w:val="70E33B44"/>
    <w:rsid w:val="71383A32"/>
    <w:rsid w:val="717E787E"/>
    <w:rsid w:val="71A15A22"/>
    <w:rsid w:val="71B555DE"/>
    <w:rsid w:val="71CC15C4"/>
    <w:rsid w:val="721E6975"/>
    <w:rsid w:val="722442A9"/>
    <w:rsid w:val="722C1E6D"/>
    <w:rsid w:val="72705E67"/>
    <w:rsid w:val="729B4F35"/>
    <w:rsid w:val="729D23E3"/>
    <w:rsid w:val="72F81823"/>
    <w:rsid w:val="73057533"/>
    <w:rsid w:val="731E0FFC"/>
    <w:rsid w:val="732D2AD2"/>
    <w:rsid w:val="73473F60"/>
    <w:rsid w:val="735E36E0"/>
    <w:rsid w:val="736F3784"/>
    <w:rsid w:val="73D07A34"/>
    <w:rsid w:val="73D862C1"/>
    <w:rsid w:val="73E96A7A"/>
    <w:rsid w:val="73FB6A64"/>
    <w:rsid w:val="742E686F"/>
    <w:rsid w:val="7482047A"/>
    <w:rsid w:val="74BD21BA"/>
    <w:rsid w:val="74BD4E11"/>
    <w:rsid w:val="74E21BDE"/>
    <w:rsid w:val="74EB45F5"/>
    <w:rsid w:val="757F36F6"/>
    <w:rsid w:val="75853C8C"/>
    <w:rsid w:val="75967100"/>
    <w:rsid w:val="75AA6324"/>
    <w:rsid w:val="75E443CC"/>
    <w:rsid w:val="75F75AC8"/>
    <w:rsid w:val="75FC407D"/>
    <w:rsid w:val="765E5D48"/>
    <w:rsid w:val="76A16DFE"/>
    <w:rsid w:val="76CA0B84"/>
    <w:rsid w:val="770C7442"/>
    <w:rsid w:val="77134EA8"/>
    <w:rsid w:val="772A2685"/>
    <w:rsid w:val="77671BC0"/>
    <w:rsid w:val="778F68B9"/>
    <w:rsid w:val="77B47319"/>
    <w:rsid w:val="77B81AA8"/>
    <w:rsid w:val="77E05548"/>
    <w:rsid w:val="77FE3051"/>
    <w:rsid w:val="77FE6C70"/>
    <w:rsid w:val="780A622C"/>
    <w:rsid w:val="78126EC9"/>
    <w:rsid w:val="781E4A29"/>
    <w:rsid w:val="78417308"/>
    <w:rsid w:val="78767BE0"/>
    <w:rsid w:val="78831C7E"/>
    <w:rsid w:val="78985D13"/>
    <w:rsid w:val="78C360EA"/>
    <w:rsid w:val="78E77833"/>
    <w:rsid w:val="78FF5734"/>
    <w:rsid w:val="790051EE"/>
    <w:rsid w:val="79266299"/>
    <w:rsid w:val="79414727"/>
    <w:rsid w:val="796D7A17"/>
    <w:rsid w:val="79757484"/>
    <w:rsid w:val="79C26742"/>
    <w:rsid w:val="79D815D5"/>
    <w:rsid w:val="7A52103B"/>
    <w:rsid w:val="7A781144"/>
    <w:rsid w:val="7A807459"/>
    <w:rsid w:val="7AA45B61"/>
    <w:rsid w:val="7AB852AD"/>
    <w:rsid w:val="7AFC23E2"/>
    <w:rsid w:val="7AFE6289"/>
    <w:rsid w:val="7B115F2F"/>
    <w:rsid w:val="7B1F586E"/>
    <w:rsid w:val="7B3E036D"/>
    <w:rsid w:val="7B8465B5"/>
    <w:rsid w:val="7B9B5BC9"/>
    <w:rsid w:val="7B9D0047"/>
    <w:rsid w:val="7BB64B9C"/>
    <w:rsid w:val="7BBC499E"/>
    <w:rsid w:val="7BE05A49"/>
    <w:rsid w:val="7BE53801"/>
    <w:rsid w:val="7BF017EF"/>
    <w:rsid w:val="7C0D5B43"/>
    <w:rsid w:val="7C153FBB"/>
    <w:rsid w:val="7C614398"/>
    <w:rsid w:val="7C9701FA"/>
    <w:rsid w:val="7CA45BBB"/>
    <w:rsid w:val="7CC50704"/>
    <w:rsid w:val="7CD13BCC"/>
    <w:rsid w:val="7CD67D5F"/>
    <w:rsid w:val="7D131584"/>
    <w:rsid w:val="7D3B7A40"/>
    <w:rsid w:val="7D416E07"/>
    <w:rsid w:val="7D4E6576"/>
    <w:rsid w:val="7D8E02FB"/>
    <w:rsid w:val="7D8F7CB3"/>
    <w:rsid w:val="7D937D0D"/>
    <w:rsid w:val="7DA010C3"/>
    <w:rsid w:val="7DD86475"/>
    <w:rsid w:val="7DE873B1"/>
    <w:rsid w:val="7E5F0711"/>
    <w:rsid w:val="7E760B63"/>
    <w:rsid w:val="7EA22744"/>
    <w:rsid w:val="7EC048B9"/>
    <w:rsid w:val="7EC65671"/>
    <w:rsid w:val="7F52699D"/>
    <w:rsid w:val="7F6A3CCB"/>
    <w:rsid w:val="7FC20F97"/>
    <w:rsid w:val="7FD232F7"/>
    <w:rsid w:val="7FD71A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1"/>
      <w:szCs w:val="21"/>
      <w:lang w:val="en-US" w:eastAsia="zh-CN" w:bidi="ar-SA"/>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link w:val="30"/>
    <w:qFormat/>
    <w:uiPriority w:val="0"/>
    <w:pPr>
      <w:spacing w:after="120"/>
    </w:pPr>
  </w:style>
  <w:style w:type="paragraph" w:styleId="4">
    <w:name w:val="Date"/>
    <w:basedOn w:val="1"/>
    <w:next w:val="1"/>
    <w:link w:val="25"/>
    <w:qFormat/>
    <w:uiPriority w:val="0"/>
    <w:pPr>
      <w:ind w:left="100" w:leftChars="2500"/>
    </w:pPr>
  </w:style>
  <w:style w:type="paragraph" w:styleId="5">
    <w:name w:val="Balloon Text"/>
    <w:basedOn w:val="1"/>
    <w:link w:val="23"/>
    <w:qFormat/>
    <w:uiPriority w:val="0"/>
    <w:rPr>
      <w:sz w:val="18"/>
      <w:szCs w:val="18"/>
    </w:rPr>
  </w:style>
  <w:style w:type="paragraph" w:styleId="6">
    <w:name w:val="footer"/>
    <w:basedOn w:val="1"/>
    <w:link w:val="17"/>
    <w:qFormat/>
    <w:uiPriority w:val="99"/>
    <w:pPr>
      <w:tabs>
        <w:tab w:val="center" w:pos="4153"/>
        <w:tab w:val="right" w:pos="8306"/>
      </w:tabs>
      <w:snapToGrid w:val="0"/>
      <w:jc w:val="left"/>
    </w:pPr>
    <w:rPr>
      <w:rFonts w:ascii="Calibri" w:hAnsi="Calibri" w:cs="Calibri"/>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spacing w:after="120"/>
      <w:ind w:left="420" w:leftChars="200"/>
    </w:pPr>
    <w:rPr>
      <w:sz w:val="16"/>
      <w:szCs w:val="16"/>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Strong"/>
    <w:basedOn w:val="11"/>
    <w:qFormat/>
    <w:uiPriority w:val="0"/>
    <w:rPr>
      <w:b/>
    </w:rPr>
  </w:style>
  <w:style w:type="character" w:styleId="13">
    <w:name w:val="page number"/>
    <w:basedOn w:val="11"/>
    <w:qFormat/>
    <w:uiPriority w:val="0"/>
    <w:rPr>
      <w:rFonts w:cs="Times New Roman"/>
    </w:rPr>
  </w:style>
  <w:style w:type="character" w:styleId="14">
    <w:name w:val="FollowedHyperlink"/>
    <w:basedOn w:val="11"/>
    <w:unhideWhenUsed/>
    <w:qFormat/>
    <w:uiPriority w:val="99"/>
    <w:rPr>
      <w:color w:val="800080"/>
      <w:u w:val="single"/>
    </w:rPr>
  </w:style>
  <w:style w:type="character" w:styleId="15">
    <w:name w:val="Hyperlink"/>
    <w:basedOn w:val="11"/>
    <w:unhideWhenUsed/>
    <w:qFormat/>
    <w:uiPriority w:val="99"/>
    <w:rPr>
      <w:color w:val="0000FF"/>
      <w:u w:val="single"/>
    </w:rPr>
  </w:style>
  <w:style w:type="character" w:customStyle="1" w:styleId="16">
    <w:name w:val="页眉 Char"/>
    <w:basedOn w:val="11"/>
    <w:link w:val="7"/>
    <w:qFormat/>
    <w:uiPriority w:val="0"/>
    <w:rPr>
      <w:rFonts w:eastAsiaTheme="minorEastAsia" w:cstheme="minorBidi"/>
      <w:kern w:val="2"/>
      <w:sz w:val="18"/>
      <w:szCs w:val="18"/>
    </w:rPr>
  </w:style>
  <w:style w:type="character" w:customStyle="1" w:styleId="17">
    <w:name w:val="页脚 Char"/>
    <w:basedOn w:val="11"/>
    <w:link w:val="6"/>
    <w:qFormat/>
    <w:uiPriority w:val="99"/>
    <w:rPr>
      <w:rFonts w:ascii="Calibri" w:hAnsi="Calibri" w:cs="Calibri"/>
      <w:kern w:val="2"/>
      <w:sz w:val="18"/>
      <w:szCs w:val="18"/>
    </w:rPr>
  </w:style>
  <w:style w:type="paragraph" w:customStyle="1" w:styleId="18">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kern w:val="0"/>
      <w:sz w:val="20"/>
      <w:szCs w:val="20"/>
    </w:rPr>
  </w:style>
  <w:style w:type="paragraph" w:customStyle="1" w:styleId="1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0"/>
      <w:szCs w:val="20"/>
    </w:rPr>
  </w:style>
  <w:style w:type="paragraph" w:customStyle="1" w:styleId="2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eastAsia="宋体" w:cs="宋体"/>
      <w:kern w:val="0"/>
      <w:sz w:val="20"/>
      <w:szCs w:val="20"/>
    </w:rPr>
  </w:style>
  <w:style w:type="paragraph" w:customStyle="1" w:styleId="21">
    <w:name w:val="xl68"/>
    <w:basedOn w:val="1"/>
    <w:qFormat/>
    <w:uiPriority w:val="0"/>
    <w:pPr>
      <w:widowControl/>
      <w:spacing w:before="100" w:beforeAutospacing="1" w:after="100" w:afterAutospacing="1"/>
      <w:jc w:val="left"/>
    </w:pPr>
    <w:rPr>
      <w:rFonts w:eastAsia="宋体" w:cs="Times New Roman"/>
      <w:kern w:val="0"/>
      <w:sz w:val="24"/>
      <w:szCs w:val="24"/>
    </w:rPr>
  </w:style>
  <w:style w:type="paragraph" w:customStyle="1" w:styleId="22">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b/>
      <w:bCs/>
      <w:kern w:val="0"/>
      <w:sz w:val="20"/>
      <w:szCs w:val="20"/>
    </w:rPr>
  </w:style>
  <w:style w:type="character" w:customStyle="1" w:styleId="23">
    <w:name w:val="批注框文本 Char"/>
    <w:basedOn w:val="11"/>
    <w:link w:val="5"/>
    <w:qFormat/>
    <w:uiPriority w:val="0"/>
    <w:rPr>
      <w:rFonts w:ascii="Times New Roman" w:hAnsi="Times New Roman"/>
      <w:kern w:val="2"/>
      <w:sz w:val="18"/>
      <w:szCs w:val="18"/>
    </w:rPr>
  </w:style>
  <w:style w:type="character" w:customStyle="1" w:styleId="24">
    <w:name w:val="b-free-read-leaf"/>
    <w:basedOn w:val="11"/>
    <w:qFormat/>
    <w:uiPriority w:val="0"/>
  </w:style>
  <w:style w:type="character" w:customStyle="1" w:styleId="25">
    <w:name w:val="日期 Char"/>
    <w:basedOn w:val="11"/>
    <w:link w:val="4"/>
    <w:qFormat/>
    <w:uiPriority w:val="0"/>
    <w:rPr>
      <w:rFonts w:eastAsiaTheme="minorEastAsia" w:cstheme="minorBidi"/>
      <w:kern w:val="2"/>
      <w:sz w:val="21"/>
      <w:szCs w:val="21"/>
    </w:rPr>
  </w:style>
  <w:style w:type="paragraph" w:customStyle="1" w:styleId="26">
    <w:name w:val="列出段落1"/>
    <w:basedOn w:val="1"/>
    <w:unhideWhenUsed/>
    <w:qFormat/>
    <w:uiPriority w:val="99"/>
    <w:pPr>
      <w:ind w:firstLine="420" w:firstLineChars="200"/>
    </w:pPr>
  </w:style>
  <w:style w:type="character" w:customStyle="1" w:styleId="27">
    <w:name w:val="bjh-p"/>
    <w:basedOn w:val="11"/>
    <w:qFormat/>
    <w:uiPriority w:val="0"/>
  </w:style>
  <w:style w:type="paragraph" w:customStyle="1" w:styleId="28">
    <w:name w:val="正文首行缩进 21"/>
    <w:basedOn w:val="1"/>
    <w:qFormat/>
    <w:uiPriority w:val="0"/>
    <w:pPr>
      <w:spacing w:after="120"/>
      <w:ind w:left="200" w:leftChars="200" w:firstLine="200" w:firstLineChars="200"/>
    </w:pPr>
    <w:rPr>
      <w:rFonts w:eastAsia="宋体" w:cs="Times New Roman"/>
      <w:szCs w:val="24"/>
    </w:rPr>
  </w:style>
  <w:style w:type="paragraph" w:customStyle="1" w:styleId="29">
    <w:name w:val="正文1"/>
    <w:qFormat/>
    <w:uiPriority w:val="0"/>
    <w:pPr>
      <w:jc w:val="both"/>
    </w:pPr>
    <w:rPr>
      <w:rFonts w:ascii="Calibri" w:hAnsi="Calibri" w:eastAsia="宋体" w:cs="Calibri"/>
      <w:kern w:val="2"/>
      <w:sz w:val="21"/>
      <w:szCs w:val="21"/>
      <w:lang w:val="en-US" w:eastAsia="zh-CN" w:bidi="ar-SA"/>
    </w:rPr>
  </w:style>
  <w:style w:type="character" w:customStyle="1" w:styleId="30">
    <w:name w:val="正文文本 Char"/>
    <w:basedOn w:val="11"/>
    <w:link w:val="3"/>
    <w:qFormat/>
    <w:uiPriority w:val="0"/>
    <w:rPr>
      <w:rFonts w:eastAsiaTheme="minorEastAsia" w:cstheme="minorBid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756B997-B466-47BF-866B-35DD02CE790F}">
  <ds:schemaRefs/>
</ds:datastoreItem>
</file>

<file path=docProps/app.xml><?xml version="1.0" encoding="utf-8"?>
<Properties xmlns="http://schemas.openxmlformats.org/officeDocument/2006/extended-properties" xmlns:vt="http://schemas.openxmlformats.org/officeDocument/2006/docPropsVTypes">
  <Template>Normal.dotm</Template>
  <Company>丰泽财政</Company>
  <Pages>15</Pages>
  <Words>1580</Words>
  <Characters>1919</Characters>
  <Lines>9</Lines>
  <Paragraphs>15</Paragraphs>
  <TotalTime>5632</TotalTime>
  <ScaleCrop>false</ScaleCrop>
  <LinksUpToDate>false</LinksUpToDate>
  <CharactersWithSpaces>1980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2026-08-10T07:52:00Z</dcterms:created>
  <dc:creator>杨</dc:creator>
  <cp:lastModifiedBy>洪咩咩</cp:lastModifiedBy>
  <cp:lastPrinted>2026-09-10T04:01:00Z</cp:lastPrinted>
  <dcterms:modified xsi:type="dcterms:W3CDTF">2026-09-15T01:31:21Z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4C181EA60FD642BFB3DF40256A2550FB</vt:lpwstr>
  </property>
  <property fmtid="{D5CDD505-2E9C-101B-9397-08002B2CF9AE}" pid="4" name="KSOTemplateDocerSaveRecord">
    <vt:lpwstr>eyJoZGlkIjoiMjViY2QzYTI5ZDA3NTIwNTRjMzk2MzRiNDUwMTA5ZDYiLCJ1c2VySWQiOiIyMjkwODU2MDQifQ==</vt:lpwstr>
  </property>
</Properties>
</file>