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年度丰泽区政府决算</w:t>
      </w:r>
    </w:p>
    <w:p>
      <w:pPr>
        <w:snapToGrid w:val="0"/>
        <w:spacing w:afterLines="1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相关重要事项说明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 w:cs="Arial"/>
          <w:kern w:val="0"/>
          <w:sz w:val="32"/>
          <w:szCs w:val="32"/>
        </w:rPr>
        <w:t>丰泽区本级支出决算说明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202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年度丰泽区本级一般公共预算支出决算数为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276683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13470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4.6</w:t>
      </w:r>
      <w:r>
        <w:rPr>
          <w:rFonts w:hint="eastAsia" w:ascii="仿宋" w:hAnsi="仿宋" w:eastAsia="仿宋" w:cs="Arial"/>
          <w:kern w:val="0"/>
          <w:sz w:val="32"/>
          <w:szCs w:val="32"/>
        </w:rPr>
        <w:t>%。具体情况如下：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（一）一般公共服务支出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25266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705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2.7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%。主要原因是公用经费和专项经费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1.人大事务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1088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5.7</w:t>
      </w:r>
      <w:r>
        <w:rPr>
          <w:rFonts w:hint="eastAsia" w:ascii="仿宋" w:hAnsi="仿宋" w:eastAsia="仿宋" w:cs="Arial"/>
          <w:kern w:val="0"/>
          <w:sz w:val="32"/>
          <w:szCs w:val="32"/>
        </w:rPr>
        <w:t>%，主要原因是公用经费减少。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2.政协事务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790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2.2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%。主要原因是人员经费和公用经费增加。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3.政府办公厅(室)及相关机构事务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4529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458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9.2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4.发展与改革事务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843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1.3</w:t>
      </w:r>
      <w:r>
        <w:rPr>
          <w:rFonts w:hint="eastAsia" w:ascii="仿宋" w:hAnsi="仿宋" w:eastAsia="仿宋" w:cs="Arial"/>
          <w:kern w:val="0"/>
          <w:sz w:val="32"/>
          <w:szCs w:val="32"/>
        </w:rPr>
        <w:t>%，主要原因是人员经费和公用经费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5.统计信息事务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832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26.6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6.财政事务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1477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5.2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%。主要原因是人员经费和公用经费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7.税收事务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1493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333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28.7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8.审计事务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308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6.1</w:t>
      </w:r>
      <w:r>
        <w:rPr>
          <w:rFonts w:hint="eastAsia" w:ascii="仿宋" w:hAnsi="仿宋" w:eastAsia="仿宋" w:cs="Arial"/>
          <w:kern w:val="0"/>
          <w:sz w:val="32"/>
          <w:szCs w:val="32"/>
        </w:rPr>
        <w:t>%，主要原因是人员经费和公用经费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9.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海关事务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50万元，</w:t>
      </w:r>
      <w:r>
        <w:rPr>
          <w:rFonts w:hint="eastAsia" w:ascii="仿宋" w:hAnsi="仿宋" w:eastAsia="仿宋" w:cs="Arial"/>
          <w:kern w:val="0"/>
          <w:sz w:val="32"/>
          <w:szCs w:val="32"/>
        </w:rPr>
        <w:t>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Arial"/>
          <w:kern w:val="0"/>
          <w:sz w:val="32"/>
          <w:szCs w:val="32"/>
        </w:rPr>
        <w:t>%，主要原因是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去年未安排此项经费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Arial"/>
          <w:kern w:val="0"/>
          <w:sz w:val="32"/>
          <w:szCs w:val="32"/>
        </w:rPr>
        <w:t>纪检监察事务20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0.2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%。主要原因是公用经费增加。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Arial"/>
          <w:kern w:val="0"/>
          <w:sz w:val="32"/>
          <w:szCs w:val="32"/>
        </w:rPr>
        <w:t>.商贸事务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1673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351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17.3</w:t>
      </w:r>
      <w:r>
        <w:rPr>
          <w:rFonts w:hint="eastAsia" w:ascii="仿宋" w:hAnsi="仿宋" w:eastAsia="仿宋" w:cs="Arial"/>
          <w:kern w:val="0"/>
          <w:sz w:val="32"/>
          <w:szCs w:val="32"/>
        </w:rPr>
        <w:t>%，主要原因是人员经费和公用经费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</w:rPr>
        <w:t>.知识产权事务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280.0</w:t>
      </w:r>
      <w:r>
        <w:rPr>
          <w:rFonts w:hint="eastAsia" w:ascii="仿宋" w:hAnsi="仿宋" w:eastAsia="仿宋" w:cs="Arial"/>
          <w:kern w:val="0"/>
          <w:sz w:val="32"/>
          <w:szCs w:val="32"/>
        </w:rPr>
        <w:t>%，主要原因是专项经费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Arial"/>
          <w:kern w:val="0"/>
          <w:sz w:val="32"/>
          <w:szCs w:val="32"/>
        </w:rPr>
        <w:t>.民族事务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350.0</w:t>
      </w:r>
      <w:r>
        <w:rPr>
          <w:rFonts w:hint="eastAsia" w:ascii="仿宋" w:hAnsi="仿宋" w:eastAsia="仿宋" w:cs="Arial"/>
          <w:kern w:val="0"/>
          <w:sz w:val="32"/>
          <w:szCs w:val="32"/>
        </w:rPr>
        <w:t>%，主要原因是专项经费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Arial"/>
          <w:kern w:val="0"/>
          <w:sz w:val="32"/>
          <w:szCs w:val="32"/>
        </w:rPr>
        <w:t>.港澳台侨事务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</w:rPr>
        <w:t>6万元，较上年决算数增加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166.7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Arial"/>
          <w:kern w:val="0"/>
          <w:sz w:val="32"/>
          <w:szCs w:val="32"/>
        </w:rPr>
        <w:t>.档案事务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328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189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136.0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Arial"/>
          <w:kern w:val="0"/>
          <w:sz w:val="32"/>
          <w:szCs w:val="32"/>
        </w:rPr>
        <w:t>.群众团体事务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1542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6.3</w:t>
      </w:r>
      <w:r>
        <w:rPr>
          <w:rFonts w:hint="eastAsia" w:ascii="仿宋" w:hAnsi="仿宋" w:eastAsia="仿宋" w:cs="Arial"/>
          <w:kern w:val="0"/>
          <w:sz w:val="32"/>
          <w:szCs w:val="32"/>
        </w:rPr>
        <w:t>%，主要原因是人员经费和公用经费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Arial"/>
          <w:kern w:val="0"/>
          <w:sz w:val="32"/>
          <w:szCs w:val="32"/>
        </w:rPr>
        <w:t>.党委办公厅（室）及相关机构事务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2126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457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27.4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%。主要原因是人员经费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和公用经费增加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Arial"/>
          <w:kern w:val="0"/>
          <w:sz w:val="32"/>
          <w:szCs w:val="32"/>
        </w:rPr>
        <w:t>.组织事务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717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308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30.0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人员经费和</w:t>
      </w:r>
      <w:r>
        <w:rPr>
          <w:rFonts w:hint="eastAsia" w:ascii="仿宋" w:hAnsi="仿宋" w:eastAsia="仿宋" w:cs="Arial"/>
          <w:kern w:val="0"/>
          <w:sz w:val="32"/>
          <w:szCs w:val="32"/>
        </w:rPr>
        <w:t>公用经费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Arial"/>
          <w:kern w:val="0"/>
          <w:sz w:val="32"/>
          <w:szCs w:val="32"/>
        </w:rPr>
        <w:t>.宣传事务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1380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442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47.1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%。主要原因是人员经费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和公用经费增加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</w:rPr>
        <w:t>.统战事务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607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239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28.3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%。主要原因是人员经费和公用经费减少。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</w:rPr>
        <w:t>.其他共产党事务支出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365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67.5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%。主要原因是人员经费和公用经费减少。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</w:rPr>
        <w:t>.市场监督管理事务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2641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334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11.2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%。主要原因是人员经费和公用经费减少。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kern w:val="0"/>
          <w:sz w:val="32"/>
          <w:szCs w:val="32"/>
        </w:rPr>
        <w:t>.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社会工作事务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53万元，</w:t>
      </w:r>
      <w:r>
        <w:rPr>
          <w:rFonts w:hint="eastAsia" w:ascii="仿宋" w:hAnsi="仿宋" w:eastAsia="仿宋" w:cs="Arial"/>
          <w:kern w:val="0"/>
          <w:sz w:val="32"/>
          <w:szCs w:val="32"/>
        </w:rPr>
        <w:t>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Arial"/>
          <w:kern w:val="0"/>
          <w:sz w:val="32"/>
          <w:szCs w:val="32"/>
        </w:rPr>
        <w:t>%，主要原因是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去年未安排此项经费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24.信访事务204万元，</w:t>
      </w:r>
      <w:r>
        <w:rPr>
          <w:rFonts w:hint="eastAsia" w:ascii="仿宋" w:hAnsi="仿宋" w:eastAsia="仿宋" w:cs="Arial"/>
          <w:kern w:val="0"/>
          <w:sz w:val="32"/>
          <w:szCs w:val="32"/>
        </w:rPr>
        <w:t>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Arial"/>
          <w:kern w:val="0"/>
          <w:sz w:val="32"/>
          <w:szCs w:val="32"/>
        </w:rPr>
        <w:t>%，主要原因是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去年未安排此项经费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25.</w:t>
      </w:r>
      <w:r>
        <w:rPr>
          <w:rFonts w:hint="eastAsia" w:ascii="仿宋" w:hAnsi="仿宋" w:eastAsia="仿宋" w:cs="Arial"/>
          <w:kern w:val="0"/>
          <w:sz w:val="32"/>
          <w:szCs w:val="32"/>
        </w:rPr>
        <w:t>其他一般公共服务支出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534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89.0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%。主要原因是专项经费分解到具体科目。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（二）国防支出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580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12.9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1.国防动员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580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12.9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（三）公共安全支出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13035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6127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88.7</w:t>
      </w:r>
      <w:r>
        <w:rPr>
          <w:rFonts w:hint="eastAsia" w:ascii="仿宋" w:hAnsi="仿宋" w:eastAsia="仿宋" w:cs="Arial"/>
          <w:kern w:val="0"/>
          <w:sz w:val="32"/>
          <w:szCs w:val="32"/>
        </w:rPr>
        <w:t>%，主要原因是专项经费增加。其中：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1.公安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6331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1433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29.3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%。主要原因是专项经费增加。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2.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检察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83万元，</w:t>
      </w:r>
      <w:r>
        <w:rPr>
          <w:rFonts w:hint="eastAsia" w:ascii="仿宋" w:hAnsi="仿宋" w:eastAsia="仿宋" w:cs="Arial"/>
          <w:kern w:val="0"/>
          <w:sz w:val="32"/>
          <w:szCs w:val="32"/>
        </w:rPr>
        <w:t>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Arial"/>
          <w:kern w:val="0"/>
          <w:sz w:val="32"/>
          <w:szCs w:val="32"/>
        </w:rPr>
        <w:t>%，主要原因是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去年未安排此项经费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Arial"/>
          <w:kern w:val="0"/>
          <w:sz w:val="32"/>
          <w:szCs w:val="32"/>
        </w:rPr>
        <w:t>法院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731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431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143.7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Arial"/>
          <w:kern w:val="0"/>
          <w:sz w:val="32"/>
          <w:szCs w:val="32"/>
        </w:rPr>
        <w:t>.司法1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712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253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17.3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%。主要原因是人员经费和公用经费增加。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Arial"/>
          <w:kern w:val="0"/>
          <w:sz w:val="32"/>
          <w:szCs w:val="32"/>
        </w:rPr>
        <w:t>.其他公共安全支出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4178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3927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1564.5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（四）教育支出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98192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5080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5.5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%。主要原因是落实义务教育教师工资待遇、法定投入增长。其中：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1.教育管理事务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918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1302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58.6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2.普通教育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90223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6784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8.1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%。主要原因是落实义务教育教师工资待遇。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3.职业教育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3570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692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24.0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%。主要原因是人员经费和公用经费增加。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4.特殊教育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100.0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本年未安排此项支出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5.进修及培训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856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454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34.7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6.教育费附加安排的支出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2620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527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16.7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7.其他教育支出5万元，</w:t>
      </w:r>
      <w:r>
        <w:rPr>
          <w:rFonts w:hint="eastAsia" w:ascii="仿宋" w:hAnsi="仿宋" w:eastAsia="仿宋" w:cs="Arial"/>
          <w:kern w:val="0"/>
          <w:sz w:val="32"/>
          <w:szCs w:val="32"/>
        </w:rPr>
        <w:t>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80.0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（五）科学技术支出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6319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6033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48.8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1.科学技术管理事务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32.0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%。主要原因是人员经费和公用经费增加。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2.技术研究与开发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1436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933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39.4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kern w:val="0"/>
          <w:sz w:val="32"/>
          <w:szCs w:val="32"/>
        </w:rPr>
        <w:t>.社会科学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</w:rPr>
        <w:t>422万元，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</w:rPr>
        <w:t>100%。主要原因是今年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未</w:t>
      </w:r>
      <w:r>
        <w:rPr>
          <w:rFonts w:hint="eastAsia" w:ascii="仿宋" w:hAnsi="仿宋" w:eastAsia="仿宋" w:cs="Arial"/>
          <w:kern w:val="0"/>
          <w:sz w:val="32"/>
          <w:szCs w:val="32"/>
        </w:rPr>
        <w:t>安排专项经费。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Arial"/>
          <w:kern w:val="0"/>
          <w:sz w:val="32"/>
          <w:szCs w:val="32"/>
        </w:rPr>
        <w:t>.科学技术普及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58.3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Arial"/>
          <w:kern w:val="0"/>
          <w:sz w:val="32"/>
          <w:szCs w:val="32"/>
        </w:rPr>
        <w:t>.科技重大项目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%。主要原因是今年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未</w:t>
      </w:r>
      <w:r>
        <w:rPr>
          <w:rFonts w:hint="eastAsia" w:ascii="仿宋" w:hAnsi="仿宋" w:eastAsia="仿宋" w:cs="Arial"/>
          <w:kern w:val="0"/>
          <w:sz w:val="32"/>
          <w:szCs w:val="32"/>
        </w:rPr>
        <w:t>安排专项经费。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Arial"/>
          <w:kern w:val="0"/>
          <w:sz w:val="32"/>
          <w:szCs w:val="32"/>
        </w:rPr>
        <w:t>.其他科学技术支出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4583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Arial"/>
          <w:kern w:val="0"/>
          <w:sz w:val="32"/>
          <w:szCs w:val="32"/>
        </w:rPr>
        <w:t>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4610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50.1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（六）文化旅游体育与传媒支出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3366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3210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48.8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1.文化和旅游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1576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4149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72.5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%。主要原因是人员经费和公用经费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2.文物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25.0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%。主要原因是上级专项经费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3.广播电视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1075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425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65.4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Arial"/>
          <w:kern w:val="0"/>
          <w:sz w:val="32"/>
          <w:szCs w:val="32"/>
        </w:rPr>
        <w:t>.其他文化旅游体育与传媒支出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700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519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286.7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（七）社会保障和就业支出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38246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4154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12.2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%。主要原因是专项经费增加。其中：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1.人力资源和社会保障管理事务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2127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857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28.7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2.民政管理事务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5568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3.3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3.行政事业单位养老支出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10982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5327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94.2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4.就业补助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4017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1004</w:t>
      </w:r>
      <w:r>
        <w:rPr>
          <w:rFonts w:hint="eastAsia" w:ascii="仿宋" w:hAnsi="仿宋" w:eastAsia="仿宋" w:cs="Arial"/>
          <w:kern w:val="0"/>
          <w:sz w:val="32"/>
          <w:szCs w:val="32"/>
        </w:rPr>
        <w:t>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20.0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5.抚恤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2697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0.8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6.退役安置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2288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466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25.6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7.社会福利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1652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303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22.5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8.残疾人事业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1042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9.7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9.红十字事业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147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25.0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%。主要原因是人员经费和公用经费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10.最低生活保障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840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12.6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11.临时救助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8.9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12.特困人员救助供养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12.7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13.其他生活救助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2300.0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14.财政对基本养老保险基金的补助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5746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2.6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15.退役军人管理事务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523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16.5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16.财政代缴社会保险费支出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</w:rPr>
        <w:t>24万元，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</w:rPr>
        <w:t>100%。主要原因是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今年</w:t>
      </w:r>
      <w:r>
        <w:rPr>
          <w:rFonts w:hint="eastAsia" w:ascii="仿宋" w:hAnsi="仿宋" w:eastAsia="仿宋" w:cs="Arial"/>
          <w:kern w:val="0"/>
          <w:sz w:val="32"/>
          <w:szCs w:val="32"/>
        </w:rPr>
        <w:t>未安排此项支出。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17.其他社会保障和就业支出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241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31.0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（八）卫生健康支出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29118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6371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18.0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1.卫生健康管理事务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802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14.2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%。主要原因是人员经费和公用经费减少。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2.公立医院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374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90.3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3.基层医疗卫生机构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2382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141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5.6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4.公共卫生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9981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8112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44.8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5.计划生育事务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3078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325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11.8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%。主要原因是上级专项转移支付增加等。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Arial"/>
          <w:kern w:val="0"/>
          <w:sz w:val="32"/>
          <w:szCs w:val="32"/>
        </w:rPr>
        <w:t>.行政事业单位医疗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3979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2472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164.0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Arial"/>
          <w:kern w:val="0"/>
          <w:sz w:val="32"/>
          <w:szCs w:val="32"/>
        </w:rPr>
        <w:t>.财政对基本医疗保险基金的补助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8084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515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6.8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Arial"/>
          <w:kern w:val="0"/>
          <w:sz w:val="32"/>
          <w:szCs w:val="32"/>
        </w:rPr>
        <w:t>.医疗救助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242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280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53.6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Arial"/>
          <w:kern w:val="0"/>
          <w:sz w:val="32"/>
          <w:szCs w:val="32"/>
        </w:rPr>
        <w:t>.优抚对象医疗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4.5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%。主要原因是上级提前下达资金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10.医疗保障管理事务6万元，</w:t>
      </w:r>
      <w:r>
        <w:rPr>
          <w:rFonts w:hint="eastAsia" w:ascii="仿宋" w:hAnsi="仿宋" w:eastAsia="仿宋" w:cs="Arial"/>
          <w:kern w:val="0"/>
          <w:sz w:val="32"/>
          <w:szCs w:val="32"/>
        </w:rPr>
        <w:t>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Arial"/>
          <w:kern w:val="0"/>
          <w:sz w:val="32"/>
          <w:szCs w:val="32"/>
        </w:rPr>
        <w:t>%，主要原因是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去年未安排此项经费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</w:rPr>
        <w:t>.老龄卫生健康事务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425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0.2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Arial"/>
          <w:kern w:val="0"/>
          <w:sz w:val="32"/>
          <w:szCs w:val="32"/>
        </w:rPr>
        <w:t>.中医药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万元,较上年决算数减少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99.5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kern w:val="0"/>
          <w:sz w:val="32"/>
          <w:szCs w:val="32"/>
        </w:rPr>
        <w:t>.其他卫生健康支出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431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92.7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（九）节能环保支出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3354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1175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25.9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1.环境保护管理事务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2048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96.0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2.污染防治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2151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245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10.2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3.自然生态保护8万元，</w:t>
      </w:r>
      <w:r>
        <w:rPr>
          <w:rFonts w:hint="eastAsia" w:ascii="仿宋" w:hAnsi="仿宋" w:eastAsia="仿宋" w:cs="Arial"/>
          <w:kern w:val="0"/>
          <w:sz w:val="32"/>
          <w:szCs w:val="32"/>
        </w:rPr>
        <w:t>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Arial"/>
          <w:kern w:val="0"/>
          <w:sz w:val="32"/>
          <w:szCs w:val="32"/>
        </w:rPr>
        <w:t>%，主要原因是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去年未安排此项经费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4.能源管理事务1110万元，</w:t>
      </w:r>
      <w:r>
        <w:rPr>
          <w:rFonts w:hint="eastAsia" w:ascii="仿宋" w:hAnsi="仿宋" w:eastAsia="仿宋" w:cs="Arial"/>
          <w:kern w:val="0"/>
          <w:sz w:val="32"/>
          <w:szCs w:val="32"/>
        </w:rPr>
        <w:t>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1110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Arial"/>
          <w:kern w:val="0"/>
          <w:sz w:val="32"/>
          <w:szCs w:val="32"/>
        </w:rPr>
        <w:t>%，主要原因是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去年未安排此项经费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（十）城乡社区支出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22990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1508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6.2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1.城乡社区管理事务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11184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2879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20.5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2.城乡社区规划和管理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53</w:t>
      </w:r>
      <w:r>
        <w:rPr>
          <w:rFonts w:hint="eastAsia" w:ascii="仿宋" w:hAnsi="仿宋" w:eastAsia="仿宋" w:cs="Arial"/>
          <w:kern w:val="0"/>
          <w:sz w:val="32"/>
          <w:szCs w:val="32"/>
        </w:rPr>
        <w:t>0万元，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100.0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本年未安排此项经费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3.城乡社区公共设施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2067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913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79.1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4.城乡社区环境卫生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9484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1780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23.1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5.其他城乡社区支出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255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792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75.6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（十一）农林水支出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4517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5970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56.9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1.农业农村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1964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605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23.6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2.林业和草原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561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474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45.8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3.水利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343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5088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93.7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4.巩固脱贫衔接乡村振兴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1538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16.3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5.农村综合改革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18.2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6.普惠金融发展支出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35.7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7.其他农林水支出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万元, 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41.6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（十二）交通运输支出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986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16.8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1.公路水路运输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888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297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25.1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2.其他交通运输支出98万元，</w:t>
      </w:r>
      <w:r>
        <w:rPr>
          <w:rFonts w:hint="eastAsia" w:ascii="仿宋" w:hAnsi="仿宋" w:eastAsia="仿宋" w:cs="Arial"/>
          <w:kern w:val="0"/>
          <w:sz w:val="32"/>
          <w:szCs w:val="32"/>
        </w:rPr>
        <w:t>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100%</w:t>
      </w:r>
      <w:r>
        <w:rPr>
          <w:rFonts w:hint="eastAsia" w:ascii="仿宋" w:hAnsi="仿宋" w:eastAsia="仿宋" w:cs="Arial"/>
          <w:kern w:val="0"/>
          <w:sz w:val="32"/>
          <w:szCs w:val="32"/>
        </w:rPr>
        <w:t>。主要原因是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去年未安排此项经费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（十三）资源勘探工业信息等支出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8402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2268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21.3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工业和信息产业监管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200万元，</w:t>
      </w:r>
      <w:r>
        <w:rPr>
          <w:rFonts w:hint="eastAsia" w:ascii="仿宋" w:hAnsi="仿宋" w:eastAsia="仿宋" w:cs="Arial"/>
          <w:kern w:val="0"/>
          <w:sz w:val="32"/>
          <w:szCs w:val="32"/>
        </w:rPr>
        <w:t>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Arial"/>
          <w:kern w:val="0"/>
          <w:sz w:val="32"/>
          <w:szCs w:val="32"/>
        </w:rPr>
        <w:t>%，主要原因是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去年未安排此项经费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Arial"/>
          <w:kern w:val="0"/>
          <w:sz w:val="32"/>
          <w:szCs w:val="32"/>
        </w:rPr>
        <w:t>支持中小企业发展和管理支出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8010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2492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23.7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kern w:val="0"/>
          <w:sz w:val="32"/>
          <w:szCs w:val="32"/>
        </w:rPr>
        <w:t>.其他资源勘探工业信息等支出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192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14.3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（十四）商业服务业等支出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1860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533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22.3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1.商业流通事务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810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21.8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2.涉外发展服务支出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1050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307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22.6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（十五）金融支出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342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450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56.8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1.金融部门行政支出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53.3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%。主要原因是人员经费和公用经费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2.金融发展支出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59.3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3.其他金融支出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220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303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57.9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（十六）自然资源海洋气象等支出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1056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11.3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%。主要原因是专项经费增加。其中：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1.自然资源事务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1056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11.3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（十七）住房保障支出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6439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1250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24.1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%。主要原因是专项经费增加。其中：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 保障性安居工程支出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6439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1250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24.1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（十八） 粮油物资储备支出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1328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308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30.2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%。主要原因是专项经费增加。其中：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 粮油物资事务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69.5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2. 粮油储备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1310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349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36.3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（十九）灾害防治及应急管理支出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5689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2174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61.8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%。主要原因是专项经费增加。其中：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1.应急管理事务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2640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1531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138.1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2.消防救援事务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2166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304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16.3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3.地震事务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31.8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4.自然灾害防治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51.5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5.自然灾害救灾及恢复重建支出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836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380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83.3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（二十）其他支出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884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4163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82.5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 其他支出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884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4163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82.5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%。主要原因是专项经费减少。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（二十一）债务付息支出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4696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0.1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%。主要原因是地方政府一般债务应付利息总额减少。其中：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1.地方政府一般债务付息支出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4696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0.1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%。主要原因是地方政府一般债务应付利息总额减少。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（二十二）债务发行费支出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万元，较上年决算数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20.0</w:t>
      </w:r>
      <w:r>
        <w:rPr>
          <w:rFonts w:hint="eastAsia" w:ascii="仿宋" w:hAnsi="仿宋" w:eastAsia="仿宋" w:cs="Arial"/>
          <w:kern w:val="0"/>
          <w:sz w:val="32"/>
          <w:szCs w:val="32"/>
        </w:rPr>
        <w:t>%。主要原因是债务发行费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二、财政转移支付安排情况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丰泽区所辖街道作为一级预算部门管理，未单独编制政府决算，为此未有转移支付及对下税收返还决算数据。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三、举借政府债务情况</w:t>
      </w:r>
    </w:p>
    <w:p>
      <w:pPr>
        <w:pStyle w:val="2"/>
        <w:spacing w:line="600" w:lineRule="exact"/>
        <w:ind w:firstLine="616"/>
        <w:rPr>
          <w:rFonts w:ascii="楷体" w:hAnsi="楷体" w:eastAsia="楷体" w:cs="楷体"/>
          <w:b w:val="0"/>
          <w:bCs/>
          <w:snapToGrid w:val="0"/>
          <w:spacing w:val="-6"/>
          <w:kern w:val="0"/>
          <w:sz w:val="32"/>
        </w:rPr>
      </w:pPr>
      <w:r>
        <w:rPr>
          <w:rFonts w:hint="eastAsia" w:ascii="楷体" w:hAnsi="楷体" w:eastAsia="楷体" w:cs="楷体"/>
          <w:b w:val="0"/>
          <w:bCs/>
          <w:snapToGrid w:val="0"/>
          <w:spacing w:val="-6"/>
          <w:kern w:val="0"/>
          <w:sz w:val="32"/>
        </w:rPr>
        <w:t>（一）政府债务规模情况</w:t>
      </w:r>
    </w:p>
    <w:p>
      <w:pPr>
        <w:spacing w:line="600" w:lineRule="exact"/>
        <w:ind w:firstLine="640" w:firstLineChars="200"/>
        <w:textAlignment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年，省财政核定我区政府债务限额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66.28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亿元，其中，一般债务16.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亿元，专项债务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50.16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亿元。截至202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年末，全区政府债务余额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63.99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亿元，其中：一般债务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14.41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亿元、专项债务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49.58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亿元，严格控制在核定的限额之内。</w:t>
      </w:r>
    </w:p>
    <w:p>
      <w:pPr>
        <w:pStyle w:val="2"/>
        <w:spacing w:line="600" w:lineRule="exact"/>
        <w:ind w:firstLine="616"/>
        <w:rPr>
          <w:rFonts w:ascii="楷体" w:hAnsi="楷体" w:eastAsia="楷体" w:cs="楷体"/>
          <w:b w:val="0"/>
          <w:bCs/>
          <w:snapToGrid w:val="0"/>
          <w:spacing w:val="-6"/>
          <w:kern w:val="0"/>
          <w:sz w:val="32"/>
        </w:rPr>
      </w:pPr>
      <w:r>
        <w:rPr>
          <w:rFonts w:hint="eastAsia" w:ascii="楷体" w:hAnsi="楷体" w:eastAsia="楷体" w:cs="楷体"/>
          <w:b w:val="0"/>
          <w:bCs/>
          <w:snapToGrid w:val="0"/>
          <w:spacing w:val="-6"/>
          <w:kern w:val="0"/>
          <w:sz w:val="32"/>
        </w:rPr>
        <w:t>（二）政府债务期限结构情况</w:t>
      </w:r>
    </w:p>
    <w:p>
      <w:pPr>
        <w:spacing w:line="600" w:lineRule="exact"/>
        <w:ind w:firstLine="640" w:firstLineChars="200"/>
        <w:textAlignment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全区202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年末政府债务余额中，202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年到期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3.19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4.99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年到期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1.05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1.64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年到期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2.85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4.45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年到期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1.08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1.69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年及以后年度到期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55.82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87.23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</w:p>
    <w:p>
      <w:pPr>
        <w:pStyle w:val="2"/>
        <w:spacing w:line="600" w:lineRule="exact"/>
        <w:ind w:firstLine="616"/>
        <w:rPr>
          <w:rFonts w:ascii="楷体" w:hAnsi="楷体" w:eastAsia="楷体" w:cs="楷体"/>
          <w:b w:val="0"/>
          <w:bCs/>
          <w:snapToGrid w:val="0"/>
          <w:spacing w:val="-6"/>
          <w:kern w:val="0"/>
          <w:sz w:val="32"/>
        </w:rPr>
      </w:pPr>
      <w:r>
        <w:rPr>
          <w:rFonts w:hint="eastAsia" w:ascii="楷体" w:hAnsi="楷体" w:eastAsia="楷体" w:cs="楷体"/>
          <w:b w:val="0"/>
          <w:bCs/>
          <w:snapToGrid w:val="0"/>
          <w:spacing w:val="-6"/>
          <w:kern w:val="0"/>
          <w:sz w:val="32"/>
        </w:rPr>
        <w:t>（三）政府债券发行使用情况</w:t>
      </w:r>
    </w:p>
    <w:p>
      <w:pPr>
        <w:spacing w:line="600" w:lineRule="exact"/>
        <w:ind w:firstLine="640" w:firstLineChars="200"/>
        <w:textAlignment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年，全区由省级代为发行发行地方政府债券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11.40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亿元。其中：新增政府债券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7.36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亿元，用于泉州数字经济产业园标准园区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区等20个项目；再融资债券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4.04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亿元，用于偿还到期地方政府债券本金。</w:t>
      </w:r>
    </w:p>
    <w:p>
      <w:pPr>
        <w:pStyle w:val="2"/>
        <w:spacing w:line="600" w:lineRule="exact"/>
        <w:ind w:firstLine="616"/>
        <w:rPr>
          <w:rFonts w:ascii="楷体" w:hAnsi="楷体" w:eastAsia="楷体" w:cs="楷体"/>
          <w:b w:val="0"/>
          <w:bCs/>
          <w:snapToGrid w:val="0"/>
          <w:spacing w:val="-6"/>
          <w:kern w:val="0"/>
          <w:sz w:val="32"/>
        </w:rPr>
      </w:pPr>
      <w:r>
        <w:rPr>
          <w:rFonts w:hint="eastAsia" w:ascii="楷体" w:hAnsi="楷体" w:eastAsia="楷体" w:cs="楷体"/>
          <w:b w:val="0"/>
          <w:bCs/>
          <w:snapToGrid w:val="0"/>
          <w:spacing w:val="-6"/>
          <w:kern w:val="0"/>
          <w:sz w:val="32"/>
        </w:rPr>
        <w:t>（四）政府债务还本付息情况</w:t>
      </w:r>
    </w:p>
    <w:p>
      <w:pPr>
        <w:spacing w:line="600" w:lineRule="exact"/>
        <w:ind w:firstLine="640" w:firstLineChars="200"/>
        <w:textAlignment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年，全区偿还政府债券本息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5.28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亿元，其中：本金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3.32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亿元、利息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1.96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四、预算绩效开展情况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一是促规范，优化过程管理机制。印发了《2024年预算绩效管理工作要点》、《关于建立财政预算绩效管理专家库的通知》等文件，有序推进年度预算绩效管理工作。二是强评价，重视全流程评价管理。强化事前绩效评估，完成1个政策事前评估和4个新增项目事前评估；深入推进重点绩效评价，完成部门整体支出、政府投资基金、政府采购服务、国有资产管理绩效评价等方面8个重点项目评价，涉及财政资金6.70亿元，形成多类型重点评价并驾齐驱的格局。三是深认识，压实单位主体责任。组织区直各预算单位绩效评价覆盖“四本预算”1343个项目，涉及资金规模达10800万元，充分发挥预算部门主体责任。四是抓应用，补齐绩效管理短板。运用绩效监控结果及时纠正绩效运行偏差，根据1-9月绩效监控的结果，调减收回未达到序时进度的部分项目资金94.65万元；建立健全绩效评价结果与预算安排挂钩机制，在年度预算编制中应用绩效评价结果的，将2023年专项绩效自评结果应用于2025年部门预算编制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7038956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wordWrap w:val="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9288864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firstLine="360" w:firstLineChars="2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34A6"/>
    <w:rsid w:val="000204A3"/>
    <w:rsid w:val="00056889"/>
    <w:rsid w:val="00057A3C"/>
    <w:rsid w:val="00092ED5"/>
    <w:rsid w:val="00102DF0"/>
    <w:rsid w:val="00212F5B"/>
    <w:rsid w:val="00313891"/>
    <w:rsid w:val="00332603"/>
    <w:rsid w:val="004D40CE"/>
    <w:rsid w:val="005775D9"/>
    <w:rsid w:val="00580AD9"/>
    <w:rsid w:val="005D12B2"/>
    <w:rsid w:val="005F407E"/>
    <w:rsid w:val="006176FB"/>
    <w:rsid w:val="00651375"/>
    <w:rsid w:val="00766D49"/>
    <w:rsid w:val="00772083"/>
    <w:rsid w:val="007A0B3E"/>
    <w:rsid w:val="007A53DA"/>
    <w:rsid w:val="00834F54"/>
    <w:rsid w:val="009669B8"/>
    <w:rsid w:val="009A382C"/>
    <w:rsid w:val="009D34A6"/>
    <w:rsid w:val="00A11DEF"/>
    <w:rsid w:val="00AB36C7"/>
    <w:rsid w:val="00AB7ADE"/>
    <w:rsid w:val="00B03E7C"/>
    <w:rsid w:val="00D905AB"/>
    <w:rsid w:val="00E469B6"/>
    <w:rsid w:val="00ED0DEC"/>
    <w:rsid w:val="00EE575F"/>
    <w:rsid w:val="00F46868"/>
    <w:rsid w:val="00FC6FDA"/>
    <w:rsid w:val="00FF17A4"/>
    <w:rsid w:val="05007D15"/>
    <w:rsid w:val="06E35AF8"/>
    <w:rsid w:val="105B5B27"/>
    <w:rsid w:val="10A51651"/>
    <w:rsid w:val="1617282D"/>
    <w:rsid w:val="1789781C"/>
    <w:rsid w:val="1D174AC8"/>
    <w:rsid w:val="1E6465EE"/>
    <w:rsid w:val="25C66D48"/>
    <w:rsid w:val="30410937"/>
    <w:rsid w:val="35F80DEF"/>
    <w:rsid w:val="379246B2"/>
    <w:rsid w:val="438A5759"/>
    <w:rsid w:val="548600F1"/>
    <w:rsid w:val="5D321B5E"/>
    <w:rsid w:val="6030345E"/>
    <w:rsid w:val="604958F7"/>
    <w:rsid w:val="61195DDA"/>
    <w:rsid w:val="613F34C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spacing w:line="580" w:lineRule="exact"/>
      <w:ind w:firstLine="640" w:firstLineChars="200"/>
      <w:textAlignment w:val="center"/>
      <w:outlineLvl w:val="2"/>
    </w:pPr>
    <w:rPr>
      <w:rFonts w:ascii="仿宋" w:hAnsi="仿宋" w:eastAsia="宋体" w:cs="仿宋"/>
      <w:b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11">
    <w:name w:val="标题 3 Char"/>
    <w:basedOn w:val="5"/>
    <w:link w:val="2"/>
    <w:qFormat/>
    <w:uiPriority w:val="0"/>
    <w:rPr>
      <w:rFonts w:ascii="仿宋" w:hAnsi="仿宋" w:eastAsia="宋体" w:cs="仿宋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1218</Words>
  <Characters>6948</Characters>
  <Lines>57</Lines>
  <Paragraphs>16</Paragraphs>
  <ScaleCrop>false</ScaleCrop>
  <LinksUpToDate>false</LinksUpToDate>
  <CharactersWithSpaces>8150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2018-01-02T08:12:00Z</dcterms:created>
  <dc:creator>何吾志</dc:creator>
  <cp:lastModifiedBy>Administrator</cp:lastModifiedBy>
  <cp:lastPrinted>2025-05-28T07:43:00Z</cp:lastPrinted>
  <dcterms:modified xsi:type="dcterms:W3CDTF">2025-05-29T00:26:00Z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