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BCCE2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1B13F374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2893A86E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3651CC77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福建优立帮信息科技有限公司</w:t>
      </w:r>
      <w:r>
        <w:rPr>
          <w:rFonts w:hint="eastAsia" w:ascii="仿宋_GB2312"/>
          <w:sz w:val="32"/>
          <w:szCs w:val="32"/>
        </w:rPr>
        <w:t>：</w:t>
      </w:r>
    </w:p>
    <w:p w14:paraId="75481FFF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赖明水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福建优立帮信息科技有限公司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劳动报酬、社会保险争议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一案（泉丰劳人仲案字〔2026〕第957号），因其他方式无法向你送达仲裁文书，现依法向你公告送达仲裁申请书副本、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时在本委开庭审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理，逾期将依法缺席裁决。</w:t>
      </w:r>
    </w:p>
    <w:p w14:paraId="1F4B89E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联系人：小朱，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278A7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6D73068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798FF9A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2CDC255A">
      <w:pPr>
        <w:pStyle w:val="4"/>
        <w:spacing w:line="540" w:lineRule="exact"/>
        <w:ind w:firstLine="640"/>
        <w:jc w:val="right"/>
        <w:rPr>
          <w:rFonts w:hint="eastAsia" w:ascii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77376197">
      <w:pPr>
        <w:pStyle w:val="4"/>
        <w:wordWrap w:val="0"/>
        <w:spacing w:line="540" w:lineRule="exact"/>
        <w:ind w:firstLine="640"/>
        <w:jc w:val="right"/>
        <w:rPr>
          <w:rFonts w:hint="default" w:ascii="仿宋_GB2312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  </w:t>
      </w:r>
    </w:p>
    <w:p w14:paraId="7234EE1C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2E245983">
      <w:pPr>
        <w:pStyle w:val="4"/>
        <w:spacing w:line="540" w:lineRule="exact"/>
        <w:rPr>
          <w:rFonts w:ascii="仿宋_GB2312"/>
          <w:szCs w:val="32"/>
        </w:rPr>
      </w:pPr>
    </w:p>
    <w:p w14:paraId="02DB2B96">
      <w:pPr>
        <w:pStyle w:val="4"/>
        <w:spacing w:line="540" w:lineRule="exact"/>
        <w:rPr>
          <w:rFonts w:ascii="仿宋_GB2312"/>
          <w:szCs w:val="32"/>
        </w:rPr>
      </w:pPr>
    </w:p>
    <w:p w14:paraId="69185DC5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D9236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463B235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3D884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38DB59D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0BFF6B97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306</Characters>
  <Lines>2</Lines>
  <Paragraphs>1</Paragraphs>
  <TotalTime>4</TotalTime>
  <ScaleCrop>false</ScaleCrop>
  <LinksUpToDate>false</LinksUpToDate>
  <CharactersWithSpaces>329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cp:lastPrinted>2026-09-07T09:59:35Z</cp:lastPrinted>
  <dcterms:modified xsi:type="dcterms:W3CDTF">2026-09-07T10:10:36Z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